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539"/>
        <w:gridCol w:w="5821"/>
      </w:tblGrid>
      <w:tr w:rsidR="00E02A4E" w:rsidRPr="00E02A4E" w:rsidTr="00E02A4E">
        <w:tc>
          <w:tcPr>
            <w:tcW w:w="3348" w:type="dxa"/>
            <w:shd w:val="clear" w:color="auto" w:fill="FFFFFF"/>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color w:val="222222"/>
                <w:sz w:val="26"/>
                <w:szCs w:val="26"/>
              </w:rPr>
            </w:pPr>
            <w:r w:rsidRPr="00E02A4E">
              <w:rPr>
                <w:rFonts w:ascii="Arial" w:eastAsia="Times New Roman" w:hAnsi="Arial" w:cs="Arial"/>
                <w:b/>
                <w:bCs/>
                <w:color w:val="222222"/>
                <w:sz w:val="20"/>
                <w:szCs w:val="20"/>
              </w:rPr>
              <w:t>BỘ NỘI VỤ</w:t>
            </w:r>
            <w:r w:rsidRPr="00E02A4E">
              <w:rPr>
                <w:rFonts w:ascii="Arial" w:eastAsia="Times New Roman" w:hAnsi="Arial" w:cs="Arial"/>
                <w:b/>
                <w:bCs/>
                <w:color w:val="222222"/>
                <w:sz w:val="20"/>
                <w:szCs w:val="20"/>
              </w:rPr>
              <w:br/>
            </w:r>
            <w:r w:rsidRPr="00E02A4E">
              <w:rPr>
                <w:rFonts w:ascii="Arial" w:eastAsia="Times New Roman" w:hAnsi="Arial" w:cs="Arial"/>
                <w:color w:val="222222"/>
                <w:sz w:val="20"/>
                <w:szCs w:val="20"/>
              </w:rPr>
              <w:t>______</w:t>
            </w:r>
          </w:p>
        </w:tc>
        <w:tc>
          <w:tcPr>
            <w:tcW w:w="5508" w:type="dxa"/>
            <w:shd w:val="clear" w:color="auto" w:fill="FFFFFF"/>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color w:val="222222"/>
                <w:sz w:val="26"/>
                <w:szCs w:val="26"/>
              </w:rPr>
            </w:pPr>
            <w:r w:rsidRPr="00E02A4E">
              <w:rPr>
                <w:rFonts w:ascii="Arial" w:eastAsia="Times New Roman" w:hAnsi="Arial" w:cs="Arial"/>
                <w:b/>
                <w:bCs/>
                <w:color w:val="222222"/>
                <w:sz w:val="20"/>
                <w:szCs w:val="20"/>
              </w:rPr>
              <w:t>CỘNG HÒA XÃ HỘI CHỦ NGHĨA VIỆT NAM</w:t>
            </w:r>
            <w:r w:rsidRPr="00E02A4E">
              <w:rPr>
                <w:rFonts w:ascii="Arial" w:eastAsia="Times New Roman" w:hAnsi="Arial" w:cs="Arial"/>
                <w:b/>
                <w:bCs/>
                <w:color w:val="222222"/>
                <w:sz w:val="20"/>
                <w:szCs w:val="20"/>
              </w:rPr>
              <w:br/>
              <w:t>Độc lập - Tự do - Hạnh phúc</w:t>
            </w:r>
            <w:r w:rsidRPr="00E02A4E">
              <w:rPr>
                <w:rFonts w:ascii="Arial" w:eastAsia="Times New Roman" w:hAnsi="Arial" w:cs="Arial"/>
                <w:b/>
                <w:bCs/>
                <w:color w:val="222222"/>
                <w:sz w:val="20"/>
                <w:szCs w:val="20"/>
              </w:rPr>
              <w:br/>
            </w:r>
            <w:r w:rsidRPr="00E02A4E">
              <w:rPr>
                <w:rFonts w:ascii="Arial" w:eastAsia="Times New Roman" w:hAnsi="Arial" w:cs="Arial"/>
                <w:color w:val="222222"/>
                <w:sz w:val="20"/>
                <w:szCs w:val="20"/>
              </w:rPr>
              <w:t>__________________</w:t>
            </w:r>
          </w:p>
        </w:tc>
      </w:tr>
      <w:tr w:rsidR="00E02A4E" w:rsidRPr="00E02A4E" w:rsidTr="00E02A4E">
        <w:tc>
          <w:tcPr>
            <w:tcW w:w="3348" w:type="dxa"/>
            <w:shd w:val="clear" w:color="auto" w:fill="FFFFFF"/>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color w:val="222222"/>
                <w:sz w:val="26"/>
                <w:szCs w:val="26"/>
              </w:rPr>
            </w:pPr>
            <w:r w:rsidRPr="00E02A4E">
              <w:rPr>
                <w:rFonts w:ascii="Arial" w:eastAsia="Times New Roman" w:hAnsi="Arial" w:cs="Arial"/>
                <w:color w:val="222222"/>
                <w:sz w:val="20"/>
                <w:szCs w:val="20"/>
              </w:rPr>
              <w:t>Số: 441/QĐ-BNV</w:t>
            </w:r>
          </w:p>
        </w:tc>
        <w:tc>
          <w:tcPr>
            <w:tcW w:w="5508" w:type="dxa"/>
            <w:shd w:val="clear" w:color="auto" w:fill="FFFFFF"/>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color w:val="222222"/>
                <w:sz w:val="26"/>
                <w:szCs w:val="26"/>
              </w:rPr>
            </w:pPr>
            <w:r w:rsidRPr="00E02A4E">
              <w:rPr>
                <w:rFonts w:ascii="Arial" w:eastAsia="Times New Roman" w:hAnsi="Arial" w:cs="Arial"/>
                <w:i/>
                <w:iCs/>
                <w:color w:val="222222"/>
                <w:sz w:val="20"/>
                <w:szCs w:val="20"/>
              </w:rPr>
              <w:t>Hà Nội, ngày 21 tháng 6 năm 2023</w:t>
            </w:r>
          </w:p>
        </w:tc>
      </w:tr>
    </w:tbl>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QUYẾT ĐỊNH</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VỀ VIỆC CÔNG NHẬN ĐIỀU LỆ (SỬA ĐỔI, BỔ SUNG) QUỸ GIẢI THƯỞNG TÀI NĂNG NỮ VIỆT NAM</w:t>
      </w:r>
    </w:p>
    <w:p w:rsidR="00E02A4E" w:rsidRPr="00E02A4E" w:rsidRDefault="00E02A4E" w:rsidP="00E02A4E">
      <w:pPr>
        <w:spacing w:before="100" w:beforeAutospacing="1" w:after="100" w:afterAutospacing="1" w:line="240" w:lineRule="auto"/>
        <w:jc w:val="center"/>
        <w:rPr>
          <w:rFonts w:ascii="Arial" w:eastAsia="Times New Roman" w:hAnsi="Arial" w:cs="Arial"/>
          <w:color w:val="000000"/>
          <w:sz w:val="26"/>
          <w:szCs w:val="26"/>
        </w:rPr>
      </w:pPr>
      <w:r w:rsidRPr="00E02A4E">
        <w:rPr>
          <w:rFonts w:ascii="Arial" w:eastAsia="Times New Roman" w:hAnsi="Arial" w:cs="Arial"/>
          <w:color w:val="000000"/>
          <w:sz w:val="20"/>
          <w:szCs w:val="20"/>
        </w:rPr>
        <w:t>________</w:t>
      </w:r>
    </w:p>
    <w:p w:rsidR="00E02A4E" w:rsidRPr="00E02A4E" w:rsidRDefault="00E02A4E" w:rsidP="00E02A4E">
      <w:pPr>
        <w:spacing w:before="100" w:beforeAutospacing="1" w:after="100" w:afterAutospacing="1" w:line="240" w:lineRule="auto"/>
        <w:jc w:val="center"/>
        <w:rPr>
          <w:rFonts w:ascii="Arial" w:eastAsia="Times New Roman" w:hAnsi="Arial" w:cs="Arial"/>
          <w:color w:val="000000"/>
          <w:sz w:val="26"/>
          <w:szCs w:val="26"/>
        </w:rPr>
      </w:pPr>
      <w:r w:rsidRPr="00E02A4E">
        <w:rPr>
          <w:rFonts w:ascii="Arial" w:eastAsia="Times New Roman" w:hAnsi="Arial" w:cs="Arial"/>
          <w:b/>
          <w:bCs/>
          <w:color w:val="000000"/>
          <w:sz w:val="20"/>
          <w:szCs w:val="20"/>
        </w:rPr>
        <w:t>BỘ TRƯỞNG BỘ NỘI VỤ</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i/>
          <w:iCs/>
          <w:color w:val="222222"/>
          <w:sz w:val="20"/>
          <w:szCs w:val="20"/>
        </w:rPr>
        <w:t>Căn cứ Nghị định số </w:t>
      </w:r>
      <w:r w:rsidRPr="00E02A4E">
        <w:rPr>
          <w:rFonts w:ascii="Arial" w:eastAsia="Times New Roman" w:hAnsi="Arial" w:cs="Arial"/>
          <w:i/>
          <w:iCs/>
          <w:color w:val="A67C52"/>
          <w:sz w:val="20"/>
          <w:szCs w:val="20"/>
        </w:rPr>
        <w:t>63/2022/NĐ-CP</w:t>
      </w:r>
      <w:r w:rsidRPr="00E02A4E">
        <w:rPr>
          <w:rFonts w:ascii="Arial" w:eastAsia="Times New Roman" w:hAnsi="Arial" w:cs="Arial"/>
          <w:i/>
          <w:iCs/>
          <w:color w:val="222222"/>
          <w:sz w:val="20"/>
          <w:szCs w:val="20"/>
        </w:rPr>
        <w:t> ngày 12 tháng 9 năm 2022 của Chính phủ quy định chức năng, nhiệm vụ, quyền hạn và cơ cấu tổ chức của Bộ Nội vụ;</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i/>
          <w:iCs/>
          <w:color w:val="222222"/>
          <w:sz w:val="20"/>
          <w:szCs w:val="20"/>
        </w:rPr>
        <w:t>Căn cứ Nghị định số </w:t>
      </w:r>
      <w:r w:rsidRPr="00E02A4E">
        <w:rPr>
          <w:rFonts w:ascii="Arial" w:eastAsia="Times New Roman" w:hAnsi="Arial" w:cs="Arial"/>
          <w:i/>
          <w:iCs/>
          <w:color w:val="A67C52"/>
          <w:sz w:val="20"/>
          <w:szCs w:val="20"/>
        </w:rPr>
        <w:t>93/2019/NĐ-CP</w:t>
      </w:r>
      <w:r w:rsidRPr="00E02A4E">
        <w:rPr>
          <w:rFonts w:ascii="Arial" w:eastAsia="Times New Roman" w:hAnsi="Arial" w:cs="Arial"/>
          <w:i/>
          <w:iCs/>
          <w:color w:val="222222"/>
          <w:sz w:val="20"/>
          <w:szCs w:val="20"/>
        </w:rPr>
        <w:t> ngày 25 tháng 11 năm 2019 của Chính phủ quy định về tổ chức, hoạt động của quỹ xã hội, quỹ từ thiện;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i/>
          <w:iCs/>
          <w:color w:val="222222"/>
          <w:sz w:val="20"/>
          <w:szCs w:val="20"/>
        </w:rPr>
        <w:t>Theo đề nghị của Hội đồng quản lý Quỹ Giải thưởng tài năng nữ Việt Nam và Vụ trưởng Vụ Tổ chức phi chính phủ.</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QUYẾT ĐỊNH:</w:t>
      </w:r>
    </w:p>
    <w:p w:rsidR="00E02A4E" w:rsidRPr="00E02A4E" w:rsidRDefault="00E02A4E" w:rsidP="00E02A4E">
      <w:pPr>
        <w:spacing w:after="120" w:line="240" w:lineRule="auto"/>
        <w:rPr>
          <w:rFonts w:ascii="Arial" w:eastAsia="Times New Roman" w:hAnsi="Arial" w:cs="Arial"/>
          <w:color w:val="2E2E2E"/>
          <w:sz w:val="26"/>
          <w:szCs w:val="26"/>
        </w:rPr>
      </w:pPr>
      <w:r w:rsidRPr="00E02A4E">
        <w:rPr>
          <w:rFonts w:ascii="Arial" w:eastAsia="Times New Roman" w:hAnsi="Arial" w:cs="Arial"/>
          <w:b/>
          <w:bCs/>
          <w:color w:val="2E2E2E"/>
          <w:sz w:val="26"/>
          <w:szCs w:val="26"/>
        </w:rPr>
        <w:t>Điều 1. Công nhận Điều lệ (sửa đổi, bổ sung) lần thứ nhất của Quỹ Giải thưởng tài năng nữ Việt Nam ban hành kèm theo Quyết định này. Điều lệ này thay thế Điều lệ được công nhận tại Quyết định số </w:t>
      </w:r>
      <w:r w:rsidRPr="00E02A4E">
        <w:rPr>
          <w:rFonts w:ascii="Arial" w:eastAsia="Times New Roman" w:hAnsi="Arial" w:cs="Arial"/>
          <w:b/>
          <w:bCs/>
          <w:color w:val="A67C52"/>
          <w:sz w:val="26"/>
          <w:szCs w:val="26"/>
        </w:rPr>
        <w:t>1842/QĐ-BNV</w:t>
      </w:r>
      <w:r w:rsidRPr="00E02A4E">
        <w:rPr>
          <w:rFonts w:ascii="Arial" w:eastAsia="Times New Roman" w:hAnsi="Arial" w:cs="Arial"/>
          <w:b/>
          <w:bCs/>
          <w:color w:val="2E2E2E"/>
          <w:sz w:val="26"/>
          <w:szCs w:val="26"/>
        </w:rPr>
        <w:t> ngày 03 tháng 11 năm 2011 của Bộ trưởng Bộ Nội vụ về việc cấp Giấy phép thành lập và công nhận Điều lệ Quỹ Giải thưởng tài năng nữ Việt Nam.</w:t>
      </w:r>
    </w:p>
    <w:p w:rsidR="00E02A4E" w:rsidRPr="00E02A4E" w:rsidRDefault="00E02A4E" w:rsidP="00E02A4E">
      <w:pPr>
        <w:spacing w:after="120" w:line="240" w:lineRule="auto"/>
        <w:rPr>
          <w:rFonts w:ascii="Arial" w:eastAsia="Times New Roman" w:hAnsi="Arial" w:cs="Arial"/>
          <w:color w:val="2E2E2E"/>
          <w:sz w:val="26"/>
          <w:szCs w:val="26"/>
        </w:rPr>
      </w:pPr>
      <w:r w:rsidRPr="00E02A4E">
        <w:rPr>
          <w:rFonts w:ascii="Arial" w:eastAsia="Times New Roman" w:hAnsi="Arial" w:cs="Arial"/>
          <w:b/>
          <w:bCs/>
          <w:color w:val="2E2E2E"/>
          <w:sz w:val="26"/>
          <w:szCs w:val="26"/>
        </w:rPr>
        <w:t>Điều 2. Quyết định này có hiệu lực kể từ ngày ký.</w:t>
      </w:r>
    </w:p>
    <w:p w:rsidR="00E02A4E" w:rsidRPr="00E02A4E" w:rsidRDefault="00E02A4E" w:rsidP="00E02A4E">
      <w:pPr>
        <w:spacing w:line="240" w:lineRule="auto"/>
        <w:rPr>
          <w:rFonts w:ascii="Arial" w:eastAsia="Times New Roman" w:hAnsi="Arial" w:cs="Arial"/>
          <w:color w:val="2E2E2E"/>
          <w:sz w:val="26"/>
          <w:szCs w:val="26"/>
        </w:rPr>
      </w:pPr>
      <w:r w:rsidRPr="00E02A4E">
        <w:rPr>
          <w:rFonts w:ascii="Arial" w:eastAsia="Times New Roman" w:hAnsi="Arial" w:cs="Arial"/>
          <w:b/>
          <w:bCs/>
          <w:color w:val="2E2E2E"/>
          <w:sz w:val="26"/>
          <w:szCs w:val="26"/>
        </w:rPr>
        <w:t>Điều 3. Chủ tịch Hội đồng quản lý Quỹ Giải thưởng tài năng nữ Việt Nam, Vụ trưởng Vụ Tổ chức phi chính phủ và Chánh Văn phòng Bộ Nội vụ chịu trách nhiệm thi hành Quyết định này./.</w:t>
      </w: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E02A4E" w:rsidRPr="00E02A4E" w:rsidTr="00E02A4E">
        <w:tc>
          <w:tcPr>
            <w:tcW w:w="4428" w:type="dxa"/>
            <w:shd w:val="clear" w:color="auto" w:fill="FFFFFF"/>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rPr>
                <w:rFonts w:ascii="Times New Roman" w:eastAsia="Times New Roman" w:hAnsi="Times New Roman" w:cs="Times New Roman"/>
                <w:color w:val="222222"/>
                <w:sz w:val="26"/>
                <w:szCs w:val="26"/>
              </w:rPr>
            </w:pPr>
            <w:r w:rsidRPr="00E02A4E">
              <w:rPr>
                <w:rFonts w:ascii="Arial" w:eastAsia="Times New Roman" w:hAnsi="Arial" w:cs="Arial"/>
                <w:b/>
                <w:bCs/>
                <w:i/>
                <w:iCs/>
                <w:color w:val="222222"/>
                <w:sz w:val="20"/>
                <w:szCs w:val="20"/>
              </w:rPr>
              <w:t>Nơi nhận:</w:t>
            </w:r>
            <w:r w:rsidRPr="00E02A4E">
              <w:rPr>
                <w:rFonts w:ascii="Arial" w:eastAsia="Times New Roman" w:hAnsi="Arial" w:cs="Arial"/>
                <w:b/>
                <w:bCs/>
                <w:i/>
                <w:iCs/>
                <w:color w:val="222222"/>
                <w:sz w:val="20"/>
                <w:szCs w:val="20"/>
              </w:rPr>
              <w:br/>
            </w:r>
            <w:r w:rsidRPr="00E02A4E">
              <w:rPr>
                <w:rFonts w:ascii="Arial" w:eastAsia="Times New Roman" w:hAnsi="Arial" w:cs="Arial"/>
                <w:color w:val="222222"/>
                <w:sz w:val="20"/>
                <w:szCs w:val="20"/>
              </w:rPr>
              <w:t>- Như Điều 3;</w:t>
            </w:r>
            <w:r w:rsidRPr="00E02A4E">
              <w:rPr>
                <w:rFonts w:ascii="Arial" w:eastAsia="Times New Roman" w:hAnsi="Arial" w:cs="Arial"/>
                <w:color w:val="222222"/>
                <w:sz w:val="20"/>
                <w:szCs w:val="20"/>
              </w:rPr>
              <w:br/>
              <w:t>- Bộ trưởng (để b/c);</w:t>
            </w:r>
            <w:r w:rsidRPr="00E02A4E">
              <w:rPr>
                <w:rFonts w:ascii="Arial" w:eastAsia="Times New Roman" w:hAnsi="Arial" w:cs="Arial"/>
                <w:color w:val="222222"/>
                <w:sz w:val="20"/>
                <w:szCs w:val="20"/>
              </w:rPr>
              <w:br/>
              <w:t>- Thứ trưởng Vũ Chiến Thắng;</w:t>
            </w:r>
            <w:r w:rsidRPr="00E02A4E">
              <w:rPr>
                <w:rFonts w:ascii="Arial" w:eastAsia="Times New Roman" w:hAnsi="Arial" w:cs="Arial"/>
                <w:color w:val="222222"/>
                <w:sz w:val="20"/>
                <w:szCs w:val="20"/>
              </w:rPr>
              <w:br/>
              <w:t>- Bộ LĐ-TB&amp;XH;</w:t>
            </w:r>
            <w:r w:rsidRPr="00E02A4E">
              <w:rPr>
                <w:rFonts w:ascii="Arial" w:eastAsia="Times New Roman" w:hAnsi="Arial" w:cs="Arial"/>
                <w:color w:val="222222"/>
                <w:sz w:val="20"/>
                <w:szCs w:val="20"/>
              </w:rPr>
              <w:br/>
              <w:t>- Lưu: VT, TCPCP, N.</w:t>
            </w:r>
          </w:p>
        </w:tc>
        <w:tc>
          <w:tcPr>
            <w:tcW w:w="4428" w:type="dxa"/>
            <w:shd w:val="clear" w:color="auto" w:fill="FFFFFF"/>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color w:val="222222"/>
                <w:sz w:val="26"/>
                <w:szCs w:val="26"/>
              </w:rPr>
            </w:pPr>
            <w:r w:rsidRPr="00E02A4E">
              <w:rPr>
                <w:rFonts w:ascii="Arial" w:eastAsia="Times New Roman" w:hAnsi="Arial" w:cs="Arial"/>
                <w:b/>
                <w:bCs/>
                <w:color w:val="222222"/>
                <w:sz w:val="20"/>
                <w:szCs w:val="20"/>
              </w:rPr>
              <w:t>KT. BỘ TRƯỞNG</w:t>
            </w:r>
            <w:r w:rsidRPr="00E02A4E">
              <w:rPr>
                <w:rFonts w:ascii="Arial" w:eastAsia="Times New Roman" w:hAnsi="Arial" w:cs="Arial"/>
                <w:b/>
                <w:bCs/>
                <w:color w:val="222222"/>
                <w:sz w:val="20"/>
                <w:szCs w:val="20"/>
              </w:rPr>
              <w:br/>
              <w:t>THỨ TRƯỞNG</w:t>
            </w:r>
            <w:r w:rsidRPr="00E02A4E">
              <w:rPr>
                <w:rFonts w:ascii="Arial" w:eastAsia="Times New Roman" w:hAnsi="Arial" w:cs="Arial"/>
                <w:b/>
                <w:bCs/>
                <w:color w:val="222222"/>
                <w:sz w:val="20"/>
                <w:szCs w:val="20"/>
              </w:rPr>
              <w:br/>
            </w:r>
            <w:r w:rsidRPr="00E02A4E">
              <w:rPr>
                <w:rFonts w:ascii="Arial" w:eastAsia="Times New Roman" w:hAnsi="Arial" w:cs="Arial"/>
                <w:b/>
                <w:bCs/>
                <w:color w:val="222222"/>
                <w:sz w:val="20"/>
                <w:szCs w:val="20"/>
              </w:rPr>
              <w:br/>
            </w:r>
            <w:r w:rsidRPr="00E02A4E">
              <w:rPr>
                <w:rFonts w:ascii="Arial" w:eastAsia="Times New Roman" w:hAnsi="Arial" w:cs="Arial"/>
                <w:b/>
                <w:bCs/>
                <w:color w:val="222222"/>
                <w:sz w:val="20"/>
                <w:szCs w:val="20"/>
              </w:rPr>
              <w:br/>
            </w:r>
            <w:r w:rsidRPr="00E02A4E">
              <w:rPr>
                <w:rFonts w:ascii="Arial" w:eastAsia="Times New Roman" w:hAnsi="Arial" w:cs="Arial"/>
                <w:b/>
                <w:bCs/>
                <w:color w:val="222222"/>
                <w:sz w:val="20"/>
                <w:szCs w:val="20"/>
              </w:rPr>
              <w:br/>
            </w:r>
            <w:r w:rsidRPr="00E02A4E">
              <w:rPr>
                <w:rFonts w:ascii="Arial" w:eastAsia="Times New Roman" w:hAnsi="Arial" w:cs="Arial"/>
                <w:b/>
                <w:bCs/>
                <w:color w:val="222222"/>
                <w:sz w:val="20"/>
                <w:szCs w:val="20"/>
              </w:rPr>
              <w:br/>
              <w:t>Vũ Chiến Thắng</w:t>
            </w:r>
          </w:p>
        </w:tc>
      </w:tr>
    </w:tbl>
    <w:p w:rsidR="00E02A4E" w:rsidRDefault="00E02A4E" w:rsidP="00E02A4E">
      <w:pPr>
        <w:shd w:val="clear" w:color="auto" w:fill="FFFFFF"/>
        <w:spacing w:before="100" w:beforeAutospacing="1" w:after="100" w:afterAutospacing="1" w:line="240" w:lineRule="auto"/>
        <w:jc w:val="center"/>
        <w:rPr>
          <w:rFonts w:ascii="Arial" w:eastAsia="Times New Roman" w:hAnsi="Arial" w:cs="Arial"/>
          <w:b/>
          <w:bCs/>
          <w:color w:val="222222"/>
          <w:sz w:val="20"/>
          <w:szCs w:val="20"/>
        </w:rPr>
      </w:pPr>
    </w:p>
    <w:p w:rsidR="00E02A4E" w:rsidRDefault="00E02A4E" w:rsidP="00E02A4E">
      <w:pPr>
        <w:shd w:val="clear" w:color="auto" w:fill="FFFFFF"/>
        <w:spacing w:before="100" w:beforeAutospacing="1" w:after="100" w:afterAutospacing="1" w:line="240" w:lineRule="auto"/>
        <w:jc w:val="center"/>
        <w:rPr>
          <w:rFonts w:ascii="Arial" w:eastAsia="Times New Roman" w:hAnsi="Arial" w:cs="Arial"/>
          <w:b/>
          <w:bCs/>
          <w:color w:val="222222"/>
          <w:sz w:val="20"/>
          <w:szCs w:val="20"/>
        </w:rPr>
      </w:pPr>
    </w:p>
    <w:p w:rsidR="00E02A4E" w:rsidRDefault="00E02A4E" w:rsidP="00E02A4E">
      <w:pPr>
        <w:shd w:val="clear" w:color="auto" w:fill="FFFFFF"/>
        <w:spacing w:before="100" w:beforeAutospacing="1" w:after="100" w:afterAutospacing="1" w:line="240" w:lineRule="auto"/>
        <w:jc w:val="center"/>
        <w:rPr>
          <w:rFonts w:ascii="Arial" w:eastAsia="Times New Roman" w:hAnsi="Arial" w:cs="Arial"/>
          <w:b/>
          <w:bCs/>
          <w:color w:val="222222"/>
          <w:sz w:val="20"/>
          <w:szCs w:val="20"/>
        </w:rPr>
      </w:pPr>
    </w:p>
    <w:p w:rsidR="00E02A4E" w:rsidRDefault="00E02A4E" w:rsidP="00E02A4E">
      <w:pPr>
        <w:shd w:val="clear" w:color="auto" w:fill="FFFFFF"/>
        <w:spacing w:before="100" w:beforeAutospacing="1" w:after="100" w:afterAutospacing="1" w:line="240" w:lineRule="auto"/>
        <w:jc w:val="center"/>
        <w:rPr>
          <w:rFonts w:ascii="Arial" w:eastAsia="Times New Roman" w:hAnsi="Arial" w:cs="Arial"/>
          <w:b/>
          <w:bCs/>
          <w:color w:val="222222"/>
          <w:sz w:val="20"/>
          <w:szCs w:val="20"/>
        </w:rPr>
      </w:pPr>
    </w:p>
    <w:p w:rsidR="00E02A4E" w:rsidRDefault="00E02A4E" w:rsidP="00E02A4E">
      <w:pPr>
        <w:shd w:val="clear" w:color="auto" w:fill="FFFFFF"/>
        <w:spacing w:before="100" w:beforeAutospacing="1" w:after="100" w:afterAutospacing="1" w:line="240" w:lineRule="auto"/>
        <w:jc w:val="center"/>
        <w:rPr>
          <w:rFonts w:ascii="Arial" w:eastAsia="Times New Roman" w:hAnsi="Arial" w:cs="Arial"/>
          <w:b/>
          <w:bCs/>
          <w:color w:val="222222"/>
          <w:sz w:val="20"/>
          <w:szCs w:val="20"/>
        </w:rPr>
      </w:pP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LỆ (SỬA ĐỔI, BỔ SUNG)</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color w:val="222222"/>
          <w:sz w:val="20"/>
          <w:szCs w:val="20"/>
        </w:rPr>
        <w:t>QUỸ GIẢI THƯỞNG TÀI NĂNG NỮ VIỆT NAM</w:t>
      </w:r>
      <w:r w:rsidRPr="00E02A4E">
        <w:rPr>
          <w:rFonts w:ascii="Arial" w:eastAsia="Times New Roman" w:hAnsi="Arial" w:cs="Arial"/>
          <w:color w:val="222222"/>
          <w:sz w:val="20"/>
          <w:szCs w:val="20"/>
        </w:rPr>
        <w:br/>
      </w:r>
      <w:r w:rsidRPr="00E02A4E">
        <w:rPr>
          <w:rFonts w:ascii="Arial" w:eastAsia="Times New Roman" w:hAnsi="Arial" w:cs="Arial"/>
          <w:i/>
          <w:iCs/>
          <w:color w:val="222222"/>
          <w:sz w:val="20"/>
          <w:szCs w:val="20"/>
        </w:rPr>
        <w:t>(Được công nhận kèm theo Quyết định số: 441/QĐ-BNV ngày 21 tháng 6 năm 2023</w:t>
      </w:r>
      <w:r w:rsidRPr="00E02A4E">
        <w:rPr>
          <w:rFonts w:ascii="Arial" w:eastAsia="Times New Roman" w:hAnsi="Arial" w:cs="Arial"/>
          <w:color w:val="222222"/>
          <w:sz w:val="20"/>
          <w:szCs w:val="20"/>
        </w:rPr>
        <w:t> </w:t>
      </w:r>
      <w:r w:rsidRPr="00E02A4E">
        <w:rPr>
          <w:rFonts w:ascii="Arial" w:eastAsia="Times New Roman" w:hAnsi="Arial" w:cs="Arial"/>
          <w:i/>
          <w:iCs/>
          <w:color w:val="222222"/>
          <w:sz w:val="20"/>
          <w:szCs w:val="20"/>
        </w:rPr>
        <w:t>của Bộ trưởng Bộ Nội vụ)</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I</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QUY ĐỊNH CHUNG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 Tên gọi, biểu tượng, trụ sở</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Tên gọi:</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Tên tiếng Việt: Quỹ Giải thưởng tài năng nữ Việt Nam;</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Tên tiếng Anh: Viet Nam Women Talents Foundation;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Tên viết tắt tiếng Anh: VWTF.</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Biểu tượng (logo): Quỹ có biểu tượng riêng được đăng ký bản quyền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Trụ sở của Quỹ: Số 39 phố Hàng Chuối, Phường Phạm Đình Hổ, Quận Hai Bà Trưng, thành phố Hà Nội.</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Điện thoại: 0243.9720041. Email: giaithuongphunuvn@vwu.vn.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 Tôn chỉ, mục đích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Quỹ Giải thưởng tài năng nữ Việt Nam (sau đây gọi tắt là Quỹ) là quỹ xã hội, hoạt động không vì mục tiêu lợi nhuận, nhằm mục đích khen thưởng, biểu dương các nữ công dân và tập thể phụ nữ Việt Nam có thành tích, tài năng thuộc các lứa tuổi, các lĩnh vực công tác, ngành nghề để phát huy khả năng, sức sáng tạo, không ngừng vươn lên trong học tập, nghiên cứu và lao động xây dựng đất nước.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3. Nguyên tắc tổ chức, phạm vi hoạt động và địa vị pháp lý</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Quỹ được hình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Quỹ được tổ chức và hoạt động theo nguyên tắc: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Thành lập và hoạt động không vì mục tiêu lợi nhuận;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Tự nguyện, tự chủ, tự trang trải kinh phí và tự chịu trách nhiệm trước pháp luật bằng tài sản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Tổ chức, hoạt động theo quy định của pháp luật và Điều lệ Quỹ được Bộ Nội vụ công nhận, chịu sự quản lý nhà nước của Bộ Lao động - Thương Binh và Xã hội về ngành lĩnh vực Quỹ hoạt động;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d) Công khai, minh bạch về tổ chức, hoạt động và thu, chi, tài chính, tài sản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đ) Không phân chia tài sản của Quỹ trong quá trình Quỹ đang hoạt động.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Quỹ có phạm vi hoạt động trong toàn quốc.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Quỹ có tư cách pháp nhân, có con dấu, tài khoản tại ngân hàng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4. Sáng lập viên thành lập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Sáng lập viên của Quỹ là Hội Liên hiệp Phụ nữ Việt Nam.</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Địa chỉ: số 39 Hàng Chuối, Phường Phạm Đình Hổ, Quận Hai Bà</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Trưng, thành phố Hà Nội.</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II</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CHỨC NĂNG, NHIỆM VỤ; QUYỀN HẠN VÀ NGHĨA VỤ</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5. Chức năng, nhiệm vụ</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Sử dụng nguồn tài sản của Quỹ để hỗ trợ, tài trợ cho các đối tượng, các chương trình, dự án phù hợp với tôn chỉ, mục đích của Quỹ và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Tiếp nhận và quản lý tài sản được tài trợ, viện trợ theo ủy quyền từ các tổ chức cá nhân trong và ngoài nước để thực hiện các hoạt động theo hợp đồng ủy quyền phù hợp với tôn chỉ, mục đích củ a Quỹ và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Tiếp nhận tài sản từ các tổ chức, cá nhân trong và ngoài nước tài trợ, hiến, tặng hoặc các hình thức khác theo quy định của pháp luật để bảo tồn và tăng trưởng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Định kỳ hàng năm tổ chức xét chọn và trao giải thưởng Phụ nữ Việt Nam cho các tập thể và cá nhân phụ nữ theo tiêu chuẩn của Quỹ và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5. Tuyên truyền, giới thiệu mục đích, ý nghĩa và các hoạt động của Quỹ, thành tích của các tập thể, cá nhân phụ nữ Việt Nam được Quỹ tôn vinh trao giải trên các phương tiện thông tin đại chúng theo quy định của pháp luật nằm cổ vũ, phát huy tài năng của phụ nữ, đồng thời nâng cao nhận thức của toàn xã hội về những đóng góp của phụ nữ đối với sự phát triển của đất nước. Chia sẻ, trao đổi kinh nghiệm của các tài năng nữ và kiến nghị đề xuất nhằm phát huy vai trò của tài năng nữ.</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6. Quyền hạn và nghĩa vụ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Quyền hạn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Tổ chức, hoạt động theo pháp luật và Điều lệ đã được cơ quan nhà nước có thẩm quyền công nhận;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Vận động quyên góp, tài trợ cho Quỹ; tiếp nhận tài sản do các cá nhân, tổ chức trong nước và ngoài nước tài trợ, hiến, tặng hoặc bằng các hình thức khác theo đúng mục đích của Quỹ và quy định của pháp luật. Tổ chức các hoạt động theo quy định của pháp luật để bảo tồn và tăng trưởng tài sản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c) Được thành lập pháp nhân trực thuộc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d) Được quyền khiếu nại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đ) Quỹ được phối hợp với cá nhân, tổ chức để vận động quyên góp, vận động tài trợ cho Quỹ hoặc để triển khai các đề án, dự án cụ thể của Quỹ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e) Phối hợp với các địa phương, tổ chức, cá nhân cần sự trợ giúp để xây dựng và thực hiện các đề án tài trợ theo mục đích hoạt động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Nghĩa vụ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Quỹ hoạt động trong lĩnh vực nào thì phải chấp hành sự quản lý của cơ quan nhà nước về ngành, lĩnh vực đó. Quỹ hoạt động và chỉ được tiếp nhận tài trợ, vận động tài trợ trong phạm vi hoạt động theo Điều lệ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Thực hiện tài trợ đúng theo yêu cầu của cá nhân, tổ chức đã ủy quyền phù hợp với mục đích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d)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e) Hàng năm, Quỹ có trách nhiệm công khai các khoản đóng góp trên phương tiện thông tin đại chúng trước ngày 31 tháng 3;</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g) Khi thay đổi trụ sở chính hoặc Giám đốc Quỹ, Quỹ phải báo cáo bằng văn bản với cơ quan có thẩm quyền cấp Giấy phép thành lập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h) Hàng năm, Quỹ phải báo cáo tình hình tổ chức, hoạt động và tài chính với cơ quan cấp Giấy phép thành lập và công nhận Điều lệ Quỹ, cơ quan quản lý nhà nước về tài chính cùng cấp với cơ quan có thẩm quyền cấp Giấy phép thành lập Quỹ, cơ quan quản lý ngành, lĩnh vực hoạt động của Quỹ và báo cáo với Ủy ban nhân dân cấp tỉnh nơi Quỹ đặt trụ sở trước ngày 31 tháng 12;</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i) Thực hiện các quyết định của cơ quan nhà nước có thẩm quyền liên quan đến tổ chức, hoạt động của Quỹ và các nghĩa vụ khác theo quy định của pháp luật và Điều lệ Quỹ.</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III</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TỔ CHỨC, HOẠT ĐỘNG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7. Cơ cấu tổ chức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2. Ban Kiểm soát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Văn phòng và các phòng, ban chuyên môn.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8.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do Hội Liên hiệp Phụ nữ Việt Nam đề cử, trường hợp không có đề cử của sáng lập viên thành lập Quỹ, Hội đồng quản lý Quỹ nhiệm kỳ trước bầu ra Hội đồng quản lý Quỹ nhiệm kỳ tiếp theo và được Bộ Nội vụ công nhận. Nhiệm kỳ Hội đồng quản lý Quỹ không quá 05 năm. Hội đồng quản lý Quỹ gồm: Chủ tịch, các Phó Chủ tịch và các thành viên.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Hội đồng quản lý Quỹ có nhiệm vụ, quyền hạn sau đây:</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Quyết định chiến lược phát triển và kế hoạch hoạt động hàng năm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Quyết định các giải pháp phát triển Quỹ; thông qua hợp đồng vay, mua, bán tài sản có giá trị từ 500 triệu đồng Việt Nam trở lên;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người phụ trách công tác kế toán và người quản lý khác quy định tại Điều lệ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d) Quyết định mức lương, thưởng và chế độ, chính sách khác (nếu có) đối với Chủ tịch, Phó Chủ tịch, thành viên Hội đồng quản lý Quỹ, Giám đốc, người phụ trách kế toán Quỹ và người làm việc tại Quỹ theo quy định tại Điều lệ Quỹ và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đ) Thông qua báo cáo tài chính hàng năm, phương án sử dụng tài sản, tài chính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e) Quyết định cơ cấu tổ chức quản lý Quỹ theo quy định của pháp luật và Điều lệ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g) Quyết định thành lập pháp nhân trực thuộc Quỹ theo quy định của pháp luật; thành lập chi nhánh, văn phòng đại diện Quỹ theo quy định tại Điều 32 Nghị định số </w:t>
      </w:r>
      <w:r w:rsidRPr="00E02A4E">
        <w:rPr>
          <w:rFonts w:ascii="Arial" w:eastAsia="Times New Roman" w:hAnsi="Arial" w:cs="Arial"/>
          <w:color w:val="A67C52"/>
          <w:sz w:val="20"/>
          <w:szCs w:val="20"/>
        </w:rPr>
        <w:t>93/2019/NĐ-CP</w:t>
      </w:r>
      <w:r w:rsidRPr="00E02A4E">
        <w:rPr>
          <w:rFonts w:ascii="Arial" w:eastAsia="Times New Roman" w:hAnsi="Arial" w:cs="Arial"/>
          <w:color w:val="222222"/>
          <w:sz w:val="20"/>
          <w:szCs w:val="20"/>
        </w:rPr>
        <w:t> ;</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h) Đổi tên; sửa đổi, bổ sung Điều lệ để cơ quan nhà nước có thẩm quyền công nhận;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i) Quyết định giải thể hoặc đề xuất những thay đổi về Giấy phép thành lập và công nhận Điều lệ Quỹ với cơ quan nhà nước có thẩm quyền;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l) Các nhiệm vụ và quyền hạn khác theo quy định của Nghị định số 93/2019/NĐ- CP và Điều lệ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Nguyên tắc hoạt động của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Cuộc họp của Hội đồng quản lý Quỹ do Chủ tịch Hội đồng quản lý Quỹ triệu tập và chủ trì. Hội đồng quản lý Quỹ họp định kỳ mỗi năm một lần, có thể họp bất thường theo yêu cầu của trên 2/3 số thành viên Hội đồng quản lý Quỹ. Cuộc họp của Hội đồng quản lý Quỹ là hợp lệ khi có 2/3 số thành viên Hội đồng quản lý Quỹ tham gia;</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Các quyết định của Hội đồng quản lý Quỹ được thông qua khi có từ 2/3 số thành viên Hội đồng quản lý Quỹ biểu quyết tán thành.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9. Chủ tịch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Chủ tịch Hội đồng quản lý Quỹ có các nhiệm vụ và quyền hạn sau đây:</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Chuẩn bị hoặc tổ chức việc chuẩn bị chương trình, kế hoạch hoạt động củ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Chuẩn bị hoặc tổ chức việc chuẩn bị chương trình, nội dung, tài liệu họp Hội đồng quản lý Quỹ hoặc để lấy ý kiến các thành viên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Triệu tập và chủ trì cuộc họp Hội đồng quản lý Quỹ hoặc tổ chức việc lấy ý kiến các thành viên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d) Giám sát hoặc tổ chức giám sát việc thực hiện các quyết định của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đ) Thay mặt Hội đồng quản lý Quỹ ký các quyết định của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e) Các quyền và nhiệm vụ khác theo quy định của Nghị định số </w:t>
      </w:r>
      <w:r w:rsidRPr="00E02A4E">
        <w:rPr>
          <w:rFonts w:ascii="Arial" w:eastAsia="Times New Roman" w:hAnsi="Arial" w:cs="Arial"/>
          <w:color w:val="A67C52"/>
          <w:sz w:val="20"/>
          <w:szCs w:val="20"/>
        </w:rPr>
        <w:t>93/2019/NĐ-CP</w:t>
      </w:r>
      <w:r w:rsidRPr="00E02A4E">
        <w:rPr>
          <w:rFonts w:ascii="Arial" w:eastAsia="Times New Roman" w:hAnsi="Arial" w:cs="Arial"/>
          <w:color w:val="222222"/>
          <w:sz w:val="20"/>
          <w:szCs w:val="20"/>
        </w:rPr>
        <w:t> và Điều lệ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Nhiệm kỳ của Chủ tịch Hội đồng quản lý Quỹ không quá 05 năm. Chủ tịch Hội đồng quản lý Quỹ có thể được bầu lại với số nhiệm kỳ không hạn chế.</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Trường hợp Chủ tịch Hội đồng quản lý Quỹ kiêm Giám đốc Quỹ thì phải ghi rõ trong các giấy tờ giao dịch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10. Phó Chủ tịch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1. Phó Chủ tịch Hội đồng quản lý Quỹ do Hội đồng quản lý Quỹ bầu và có nhiệm kỳ cùng với nhiệm kỳ của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11. Giám đốc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Giám đốc Quỹ do Hội đồng quản lý Quỹ bổ nhiệm trong số thành viên Hội đồng hoặc thuê người khác làm Giám đốc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Giám đốc Quỹ là người điều hành công việc hàng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Giám đốc Quỹ có các nhiệm vụ và quyền hạn sau đây:</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Điều hành và quản lý các hoạt động của Quỹ, chấp hành các định mức chi tiêu của Quỹ theo đúng nghị quyết của Hội đồng quản lý, Điều lệ Quỹ và các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Ban hành các văn bản thuộc trách nhiệm điều hành của Giám đốc và chịu trách nhiệm về các quyết định của mình;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Báo cáo định kỳ về tình hình hoạt động của Quỹ với Hội đồng quản lý Quỹ và cơ quan có thẩm quyền;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d) Chịu trách nhiệm quản lý tài sản của Quỹ theo Điều lệ Quỹ và các quy định của pháp luật về quản lý tài chính, tài sản;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đ) Đề nghị Chủ tịch Hội đồng quản lý Quỹ bổ nhiệm Phó Giám đốc và lãnh đạo các đơn vị trực thuộc;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e) Các nhiệm vụ, quyền hạn khác theo quy định của Điều lệ Quỹ và quyết định của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12. Phụ trách kế toán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Người phụ trách kế toán Quỹ do Hội đồng quản lý Quỹ bổ nhiệm hoặc bổ nhiệm theo đề nghị của Giám đốc Quỹ và thực hiện tiêu chuẩn, điều kiện bổ nhiệm, bãi miễn, thay thế phụ trách kế toán theo quy định của pháp luật về kế toán.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Người được giao phụ trách kế toán của Quỹ có trách nhiệm giúp Giám đốc Quỹ tổ chức, thực hiện công tác kế toán, thống kê của Quỹ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Không bổ nhiệm người phụ trách kế toán thuộc trường hợp những người không được làm kế toán theo quy định của pháp luật về kế toán.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Người phụ trách kế toán chịu trách nhiệm quyết toán khi thực hiện sáp nhập, hợp nhất, chia, tách, giải thể Quỹ hoặc chuyển công tác khác.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13. Ban Kiểm soát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1. Ban Kiểm soát Quỹ do Chủ tịch Hội đồng quản lý Quỹ quyết định thành lập theo Nghị quyết của Hội đồng quản lý Quỹ. Ban Kiểm soát Quỹ có ít nhất 03 thành viên, gồm: Trưởng ban, 01 Phó Trưởng ban và ủy viên. Thành viên Ban Kiểm soát Quỹ là công dân Việt Nam, được bầu với số phiếu tín nhiệm trên 1/2 tổng số thành viên Hội đồng quản lý Quỹ. Nhiệm kỳ của Ban Kiểm soát Quỹ cùng với nhiệm kỳ của Hội đồng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Ban Kiểm soát Quỹ hoạt động độc lập và có nhiệm vụ sau:</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Kiểm tra, giám sát hoạt động của Quỹ theo Điều lệ Quỹ và các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Giải quyết đơn, thư phản ánh, kiến nghị, khiếu nại, tố cáo của tổ chức, công dân gửi đến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Báo cáo, kiến nghị với Hội đồng quản lý Quỹ về kết quả kiểm tra, giám sát và tình hình tài chính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14. Văn phòng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Văn phòng Quỹ được thành lập theo quyết định của Hội đồng quản lý Quỹ, là bộ phận thường trực giúp việc cho Chủ tịch, các Phó Chủ tịch và Hội đồng quản lý Quỹ trong điều hành, quản lý hoạt động của Quỹ.</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color w:val="222222"/>
          <w:sz w:val="26"/>
          <w:szCs w:val="26"/>
        </w:rPr>
        <w:t> </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IV</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VẬN ĐỘNG QUYÊN GÓP, TIẾP NHẬN TÀI TRỢ, ĐỐI TƯỢNG VÀ ĐIỀU KIỆN HỖ TRỢ</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color w:val="222222"/>
          <w:sz w:val="26"/>
          <w:szCs w:val="26"/>
        </w:rPr>
        <w:t> </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15. Vận động quyên góp, tiếp nhận tài trợ</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Quỹ được vận động quyên góp, vận động tài trợ trong nước và nước ngoài nhằm thực hiện mục đích hoạt động theo quy định của Điều lệ Quỹ và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16. Nguyên tắc vận động quyên góp, tiếp nhận tài trợ</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Việc quyên góp, tiếp nhận, quản lý, sử dụng tiền, hiện vật từ cá nhân, tổ chức đóng góp cho Quỹ phải công khai, minh bạch, phải được thực hiện và chịu sự thanh tra, kiểm tra, giám sát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4. Hình thức công khai bao gồm:</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Niêm yết công khai tại nơi tiếp nhận quyên góp, tài trợ và nơi nhận cứu trợ, trợ giúp;</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Thông báo trên phương tiện thông tin đại chúng;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Cung cấp thông tin theo yêu cầu của cơ quan, tổ chức, cá nhân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17. Đối tượng, điều kiện nhận hỗ trợ, tài trợ</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Đối tượng tài trợ, hỗ trợ:</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Đối với cá nhân phụ nữ Việt Nam:</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Có thành tích đặc biệt xuất sắc trong công tác, mang lại hiệu quả kinh tế - xã hội, lợi ích cho đơn vị, cộng đồng, đóng góp vào công cuộc xây dựng và bảo vệ Tổ quốc;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Tích cực tham gia các hoạt động vì sự phát triển của phụ nữ, bình đẳng giới, các hoạt động phong trào phụ nữ của đơn vị, ngành, địa phương hoặc cả nước;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Có tinh thần đoàn kết, giúp đỡ nhau cùng tiến bộ, có mối quan hệ tốt với đồng nghiệp, xã hội, cộng đồng và gia đình, được mọi người tin yêu;</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Gương mẫu chấp hành tốt chủ trương, đường lối của Đảng; luật pháp, chính sách của Nhà nước và quy định của cơ quan, đơn vị. Gia đình được công nhận là gia đình văn hóa.</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Đối với tập thể phụ nữ Việt Nam:</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Có thành tích đặc biệt xuất sắc, mang lại hiệu quả kinh tế - xã hội, lợi ích cho đơn vị, cộng đồng, đóng góp vào công cuộc xây dựng và bảo vệ Tổ quốc;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Tích cực tham gia các hoạt động phong trào phụ nữ, bình đẳng giới của đơn vị, ngành, địa phương hoặc cả nước; có nhiều sáng kiến, đổi mới về nội dung, phương thức hoạt động trong tập hợp, thu hút các tầng lớp phụ nữ tham gia hoạt động của phong trào đơn vị phù hợp với điều kiện của địa phương;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Gương mẫu chấp hành tốt chủ trương, đường lối của Đảng; luật pháp, chính sách của Nhà nước;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Tập thể đoàn kết, mọi thành viên luôn giúp đỡ, gắn bó, tạo điều kiện cho nhau cùng tiến bộ. Luôn phối hợp chặt chẽ với các cấp chính quyền, ban ngành, đoàn thể liên quan để thực hiện có hiệu quả nhiệm vụ phát triển kinh tế- xã hội của đơn vị, ngành, địa phương;</w:t>
      </w:r>
      <w:bookmarkStart w:id="0" w:name="_GoBack"/>
      <w:bookmarkEnd w:id="0"/>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 Có tỷ lệ cán bộ, công chức, viên chức, người lao động là nữ từ 60% trở lên (đối với một số ngành mang tính chất đặc thù phải có tỷ lệ cán bộ, công chức, viên chức, người lao động là nữ đạt 40% trở lên) trong đó có lãnh đạo hoặc các chủ nhiệm đề tài, dự án khoa học công nghệ là nữ, có thành tích xuất sắc và có nhiều đóng góp cho thành tích chung của đơn vị.</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Điều kiện nhận hỗ trợ, tài trợ: Hội đồng quản lý Quỹ quy định cụ thể trình tự, thủ tục, thẩm quyền, thời gian, điều kiện xét nhận tài trợ, hỗ trợ của Quỹ phù hợp với quy định của pháp luật, Điều lệ Quỹ và Quy chế hoạt động nội bộ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3. Căn cứ vào điều kiện, tình hình cụ thể và khả năng tài chính của Quỹ, số lượng và mức tài trợ, hỗ trợ hàng năm của Quỹ có thể được điều chỉnh trên cơ sở cân đối thu, chi của từng năm, phù hợp với từng thời kỳ và theo quyết định của Hội đồng quản lý Quỹ.</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V</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QUẢN LÝ VÀ SỬ DỤNG TÀI SẢN, TÀI CHÍNH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18. Nguồn thu</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Thu từ đóng góp tự nguyện, tài trợ hợp pháp của tổ chức, cá nhân trong nước và ngoài nước phù hợp với quy định của pháp luật. Nguồn thu của Quỹ không bao gồm nguồn tài sản của các sáng lập viên theo quy định tại khoản 1 Điều 14 Nghị định số </w:t>
      </w:r>
      <w:r w:rsidRPr="00E02A4E">
        <w:rPr>
          <w:rFonts w:ascii="Arial" w:eastAsia="Times New Roman" w:hAnsi="Arial" w:cs="Arial"/>
          <w:color w:val="A67C52"/>
          <w:sz w:val="20"/>
          <w:szCs w:val="20"/>
        </w:rPr>
        <w:t>93/2019/NĐ-CP</w:t>
      </w:r>
      <w:r w:rsidRPr="00E02A4E">
        <w:rPr>
          <w:rFonts w:ascii="Arial" w:eastAsia="Times New Roman" w:hAnsi="Arial" w:cs="Arial"/>
          <w:color w:val="222222"/>
          <w:sz w:val="20"/>
          <w:szCs w:val="20"/>
        </w:rPr>
        <w:t> .</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Thu từ hoạt động cung cấp dịch vụ hoặc các hoạt động khác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Kinh phí do ngân sách nhà nước hỗ trợ (nếu có), bao gồm:</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Thực hiện các nhiệm vụ do cơ quan nhà nước giao;</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Thực hiện các dịch vụ công, đề tài nghiên cứu khoa học, các chương trình mục tiêu, đề án do Nhà nước đặt hàng.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Thu từ lãi tiền gửi, lãi trái phiếu Chính phủ.</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5. Các khoản thu hợp pháp khác (nếu có).</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19. Sử dụng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Nguyên tắc chi: tiết kiệm, hiệu quả theo đúng tôn chỉ, mục đích, nhiệm vụ và đối tượng của Quỹ, phù hợp với quy định của pháp luật và Điều lệ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Chi cho các hoạt động để thực hiện chức năng, nhiệm vụ và quyền hạn của Quỹ theo quy định tại Điều 5, Điều 6 Điều lệ này.</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Chi tài trợ, hỗ trợ cho các đối tượng được quy định tại Điều 17 Điều lệ này phù hợp với tôn chỉ, mục đích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Chi thực hiện các dịch vụ công, đề tài nghiên cứu khoa học, các chương trình mục tiêu, đề án do Nhà nước đặt hàng hoặc các nhiệm vụ khác do cơ quan nhà nước giao (nếu có).</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5. Chi cho hoạt động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6. Mua trái phiếu Chính phủ, gửi tiết kiệm đối với tiền nhàn rỗi của Quỹ (không bao gồm kinh phí ngân sách nhà nước cấp, nếu có).</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7. Việc tiếp nhận, sử dụng viện trợ từ tổ chức phi chính phủ nước ngoài thực hiện theo quy định của pháp luật về quản lý và sử dụng viện trợ phi chính phủ nước ngoài và các văn bản có liên quan.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8. Chi thực hiện hoạt động cung cấp dịch vụ hoặc các hoạt động khác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20. Nội dung chi cho hoạt động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1. Nội dung chi hoạt động quản lý Quỹ bao gồm:</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Chi tiền lương và các khoản phụ cấp cho bộ máy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Chi bảo hiểm xã hội, bảo hiểm thất nghiệp, bảo hiểm y tế và các khoản đóng góp theo quy định;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Chi thuê trụ sở làm việc (nếu có);</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d) Chi mua sắm, sửa chữa vật tư văn phòng, tài sản phục vụ hoạt động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đ) Chi thanh toán dịch vụ công cộng phục vụ hoạt động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e) Chi các khoản công tác phí phát sinh đi làm các nhiệm vụ vận động, tiếp nhận, vận chuyển, phân phối tiền, hàng cứu trợ;</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g) Chi cho các hoạt động liên quan đến việc thực hiện các nhiệm vụ chung trong quá trình vận động, tiếp nhận, vận chuyển, phân phối tiền, hàng cứu trợ (tiền thuê kho, bến bãi; chi phí đóng thùng, vận chuyển hàng hóa; chi phí chuyển tiền; chi phí liên quan đến phân bổ tiền, hàng cứu trợ);</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h) Các khoản chi khác có liên quan đến hoạt động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Định mức chi hoạt động quản lý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Hội đồng quản lý Quỹ quy định cụ thể tỷ lệ chi cho hoạt động quản lý Quỹ, không quá 5% tổng thu hàng năm của Quỹ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Trường hợp nhu cầu chi thực tế cho hoạt động quản lý Quỹ vượt quá 5% tổng thu hàng năm của Quỹ thì Hội đồng quản lý Quỹ quy định mức chi nhưng tối đa không vượt quá 10% tổng thu hàng năm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Trường hợp chi phí quản lý của Quỹ đến cuối năm không sử dụng hết được chuyển sang năm sau tiếp tục sử dụng theo quy định.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21. Quản lý tài chính, tài sản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 hàng năm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Ban Kiểm soát Quỹ có trách nhiệm kiểm tra, giám sát hoạt động của Quỹ và báo cáo, kiến nghị với Hội đồng quản lý Quỹ về tình hình tài sản, tài chính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Quỹ vào các hoạt động khác ngoài mục đích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Hội đồng quản lý Quỹ và Giám đốc Quỹ có trách nhiệm công khai tình hình tài sản, tài chính Quỹ hàng quý, năm theo các nội dung sau:</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a) Danh sách, số tiền, hiện vật đóng góp, tài trợ, ủng hộ của các tổ chức, cá nhân cho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Danh sách, số tiền, hiện vật tổ chức, cá nhân được nhận từ Quỹ; công khai kết quả sử dụng và quyết toán thu, chi từng khoản đóng góp;</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Báo cáo tình hình tài sản, tài chính và quyết toán quý, năm của Quỹ theo từng nội dung thu, chi theo Luật kế toán và các văn bản hướng dẫn thực hiện.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6. Quỹ phải thực hiện công khai báo cáo tài chính, báo cáo quyết toán Quỹ và kết luận của kiểm toán (nếu có) trên phương tiện thông tin đại chúng hàng năm theo quy định hiện hành.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22. Xử lý tài sản của Quỹ khi hợp nhất, sáp nhập, chia, tách, đình chỉ có thời hạn hoạt động và giải thể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3. Trường hợp Quỹ bị giải thể, không được phân chia tài sản của Quỹ. Việc bán, thanh lý tài sản của Quỹ thực hiện theo quy định của pháp luật có liên quan.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4. Toàn bộ số tiền hiện có của Quỹ và tiền thu được do bán, thanh lý tài sản của Quỹ khi Quỹ giải thể được thanh toán theo thứ tự sau:</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a) Chi phí giải thể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c) Nợ thuế và các khoản phải trả khác.</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5. Đối với tài sản, tài chính tự có của Quỹ và tài sản, tài chính của tổ chức trong và ngoài nước tài trợ còn lại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VI</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HỢP NHẤT, SÁP NHẬP, CHIA, TÁCH, ĐỔI TÊN; ĐÌNH CHỈ CÓ THỜI HẠN HOẠT ĐỘNG VÀ GIẢI THỂ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lastRenderedPageBreak/>
        <w:t>Điều 23. Hợp nhất, sáp nhập, chia, tách, đổi tên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Việc hợp nhất, sáp nhập, chia, tách, đổi tên Quỹ thực hiện theo quy định của Bộ luật dân sự, Điều 39 Nghị định số </w:t>
      </w:r>
      <w:r w:rsidRPr="00E02A4E">
        <w:rPr>
          <w:rFonts w:ascii="Arial" w:eastAsia="Times New Roman" w:hAnsi="Arial" w:cs="Arial"/>
          <w:color w:val="A67C52"/>
          <w:sz w:val="20"/>
          <w:szCs w:val="20"/>
        </w:rPr>
        <w:t>93/2019/NĐ-CP</w:t>
      </w:r>
      <w:r w:rsidRPr="00E02A4E">
        <w:rPr>
          <w:rFonts w:ascii="Arial" w:eastAsia="Times New Roman" w:hAnsi="Arial" w:cs="Arial"/>
          <w:color w:val="222222"/>
          <w:sz w:val="20"/>
          <w:szCs w:val="20"/>
        </w:rPr>
        <w:t> và các quy định pháp luật khác có liên quan.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Hội đồng quản lý Quỹ có trách nhiệm tổ chức thực hiện quyết định hợp nhất, sáp nhập, chia, tách, đổi tên Quỹ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24. Đình chỉ có thời hạn hoạt động của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Việc đình chỉ có thời hạn hoạt động của Quỹ thực hiện theo quy định tại Điều 40 Nghị định số </w:t>
      </w:r>
      <w:r w:rsidRPr="00E02A4E">
        <w:rPr>
          <w:rFonts w:ascii="Arial" w:eastAsia="Times New Roman" w:hAnsi="Arial" w:cs="Arial"/>
          <w:color w:val="A67C52"/>
          <w:sz w:val="20"/>
          <w:szCs w:val="20"/>
        </w:rPr>
        <w:t>93/2019/NĐ-CP</w:t>
      </w:r>
      <w:r w:rsidRPr="00E02A4E">
        <w:rPr>
          <w:rFonts w:ascii="Arial" w:eastAsia="Times New Roman" w:hAnsi="Arial" w:cs="Arial"/>
          <w:color w:val="222222"/>
          <w:sz w:val="20"/>
          <w:szCs w:val="20"/>
        </w:rPr>
        <w: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25. Giải thể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1.Việc giải thể Quỹ thực hiện theo quy định tại Điều 41 Nghị định số </w:t>
      </w:r>
      <w:r w:rsidRPr="00E02A4E">
        <w:rPr>
          <w:rFonts w:ascii="Arial" w:eastAsia="Times New Roman" w:hAnsi="Arial" w:cs="Arial"/>
          <w:color w:val="A67C52"/>
          <w:sz w:val="20"/>
          <w:szCs w:val="20"/>
        </w:rPr>
        <w:t>93/2019/NĐ-CP</w:t>
      </w:r>
      <w:r w:rsidRPr="00E02A4E">
        <w:rPr>
          <w:rFonts w:ascii="Arial" w:eastAsia="Times New Roman" w:hAnsi="Arial" w:cs="Arial"/>
          <w:color w:val="222222"/>
          <w:sz w:val="20"/>
          <w:szCs w:val="20"/>
        </w:rPr>
        <w:t> .</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Hội đồng quản lý Quỹ có trách nhiệm tổ chức thực hiện quyết định giải thể Quỹ theo quy định của pháp luật.</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VII</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KHEN THƯỞNG VÀ KỶ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26. Khen thưởng</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Hội đồng quản lý Quỹ quy định cụ thể hình thức, thủ tục, thẩm quyền, trình tự xét khen thưởng trong nội bộ Quỹ.</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27. Kỷ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Hội đồng quản lý Quỹ quy định cụ thể hình thức, thủ tục, thẩm quyền trình tự xem xét, quyết định kỷ luật trong nội bộ Quỹ.</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Chương VIII</w:t>
      </w:r>
    </w:p>
    <w:p w:rsidR="00E02A4E" w:rsidRPr="00E02A4E" w:rsidRDefault="00E02A4E" w:rsidP="00E02A4E">
      <w:pPr>
        <w:shd w:val="clear" w:color="auto" w:fill="FFFFFF"/>
        <w:spacing w:before="100" w:beforeAutospacing="1" w:after="100" w:afterAutospacing="1" w:line="240" w:lineRule="auto"/>
        <w:jc w:val="center"/>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KHOẢN THI HÀNH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28. Sửa đổi, bổ sung Điều lệ</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Việc sửa đổi, bổ sung Điều lệ Quỹ phải được ít nhất 2/3 thành viên Hội đồng quản lý Quỹ thông qua và phải được Bộ Nội vụ quyết định công nhận.</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b/>
          <w:bCs/>
          <w:color w:val="222222"/>
          <w:sz w:val="20"/>
          <w:szCs w:val="20"/>
        </w:rPr>
        <w:t>Điều 29. Hiệu lực thi hành</w:t>
      </w:r>
    </w:p>
    <w:p w:rsidR="00E02A4E" w:rsidRPr="00E02A4E" w:rsidRDefault="00E02A4E" w:rsidP="00E02A4E">
      <w:pPr>
        <w:shd w:val="clear" w:color="auto" w:fill="FFFFFF"/>
        <w:spacing w:before="100" w:beforeAutospacing="1" w:after="120"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lastRenderedPageBreak/>
        <w:t>1. Điều lệ (sửa đổi, bổ sung) Quỹ Giải thưởng tài năng nữ Việt Nam gồm 8 Chương, 29 Điều và có hiệu lực thi hành kể từ ngày được Bộ trưởng Bộ Nội vụ công nhận.</w:t>
      </w:r>
    </w:p>
    <w:p w:rsidR="00E02A4E" w:rsidRPr="00E02A4E" w:rsidRDefault="00E02A4E" w:rsidP="00E02A4E">
      <w:pPr>
        <w:shd w:val="clear" w:color="auto" w:fill="FFFFFF"/>
        <w:spacing w:before="100" w:beforeAutospacing="1" w:line="240" w:lineRule="auto"/>
        <w:ind w:firstLine="720"/>
        <w:jc w:val="both"/>
        <w:rPr>
          <w:rFonts w:ascii="Arial" w:eastAsia="Times New Roman" w:hAnsi="Arial" w:cs="Arial"/>
          <w:color w:val="222222"/>
          <w:sz w:val="26"/>
          <w:szCs w:val="26"/>
        </w:rPr>
      </w:pPr>
      <w:r w:rsidRPr="00E02A4E">
        <w:rPr>
          <w:rFonts w:ascii="Arial" w:eastAsia="Times New Roman" w:hAnsi="Arial" w:cs="Arial"/>
          <w:color w:val="222222"/>
          <w:sz w:val="20"/>
          <w:szCs w:val="20"/>
        </w:rPr>
        <w:t>2. Căn cứ các quy định pháp luật về quỹ xã hội, quỹ từ thiện và Điều lệ Quỹ đã được công nhận, Hội đồng quản lý Quỹ Giải thưởng tài năng nữ Việt Nam có trách nhiệm hướng dẫn và tổ chức thực hiện Điều lệ này./.</w:t>
      </w:r>
    </w:p>
    <w:p w:rsidR="009F4E2C" w:rsidRDefault="009F4E2C"/>
    <w:sectPr w:rsidR="009F4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4E"/>
    <w:rsid w:val="009F4E2C"/>
    <w:rsid w:val="00BF4F40"/>
    <w:rsid w:val="00E0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98E0"/>
  <w15:chartTrackingRefBased/>
  <w15:docId w15:val="{AE8D7FF4-DF67-47B9-88CE-33984C95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449309">
      <w:bodyDiv w:val="1"/>
      <w:marLeft w:val="0"/>
      <w:marRight w:val="0"/>
      <w:marTop w:val="0"/>
      <w:marBottom w:val="0"/>
      <w:divBdr>
        <w:top w:val="none" w:sz="0" w:space="0" w:color="auto"/>
        <w:left w:val="none" w:sz="0" w:space="0" w:color="auto"/>
        <w:bottom w:val="none" w:sz="0" w:space="0" w:color="auto"/>
        <w:right w:val="none" w:sz="0" w:space="0" w:color="auto"/>
      </w:divBdr>
      <w:divsChild>
        <w:div w:id="1310862522">
          <w:marLeft w:val="0"/>
          <w:marRight w:val="0"/>
          <w:marTop w:val="0"/>
          <w:marBottom w:val="450"/>
          <w:divBdr>
            <w:top w:val="single" w:sz="6" w:space="0" w:color="DDDDDD"/>
            <w:left w:val="single" w:sz="6" w:space="0" w:color="DDDDDD"/>
            <w:bottom w:val="single" w:sz="6" w:space="0" w:color="DDDDDD"/>
            <w:right w:val="single" w:sz="6" w:space="0" w:color="DDDDDD"/>
          </w:divBdr>
          <w:divsChild>
            <w:div w:id="930742671">
              <w:marLeft w:val="0"/>
              <w:marRight w:val="0"/>
              <w:marTop w:val="0"/>
              <w:marBottom w:val="0"/>
              <w:divBdr>
                <w:top w:val="none" w:sz="0" w:space="0" w:color="auto"/>
                <w:left w:val="none" w:sz="0" w:space="0" w:color="auto"/>
                <w:bottom w:val="none" w:sz="0" w:space="0" w:color="auto"/>
                <w:right w:val="none" w:sz="0" w:space="0" w:color="auto"/>
              </w:divBdr>
              <w:divsChild>
                <w:div w:id="67460180">
                  <w:marLeft w:val="0"/>
                  <w:marRight w:val="0"/>
                  <w:marTop w:val="0"/>
                  <w:marBottom w:val="0"/>
                  <w:divBdr>
                    <w:top w:val="none" w:sz="0" w:space="0" w:color="auto"/>
                    <w:left w:val="none" w:sz="0" w:space="0" w:color="auto"/>
                    <w:bottom w:val="none" w:sz="0" w:space="0" w:color="auto"/>
                    <w:right w:val="none" w:sz="0" w:space="0" w:color="auto"/>
                  </w:divBdr>
                  <w:divsChild>
                    <w:div w:id="1670791219">
                      <w:marLeft w:val="0"/>
                      <w:marRight w:val="0"/>
                      <w:marTop w:val="0"/>
                      <w:marBottom w:val="0"/>
                      <w:divBdr>
                        <w:top w:val="none" w:sz="0" w:space="0" w:color="auto"/>
                        <w:left w:val="none" w:sz="0" w:space="0" w:color="auto"/>
                        <w:bottom w:val="none" w:sz="0" w:space="0" w:color="auto"/>
                        <w:right w:val="none" w:sz="0" w:space="0" w:color="auto"/>
                      </w:divBdr>
                      <w:divsChild>
                        <w:div w:id="241917467">
                          <w:marLeft w:val="0"/>
                          <w:marRight w:val="0"/>
                          <w:marTop w:val="120"/>
                          <w:marBottom w:val="120"/>
                          <w:divBdr>
                            <w:top w:val="none" w:sz="0" w:space="0" w:color="auto"/>
                            <w:left w:val="none" w:sz="0" w:space="0" w:color="auto"/>
                            <w:bottom w:val="none" w:sz="0" w:space="0" w:color="auto"/>
                            <w:right w:val="none" w:sz="0" w:space="0" w:color="auto"/>
                          </w:divBdr>
                          <w:divsChild>
                            <w:div w:id="1700009082">
                              <w:marLeft w:val="0"/>
                              <w:marRight w:val="0"/>
                              <w:marTop w:val="0"/>
                              <w:marBottom w:val="0"/>
                              <w:divBdr>
                                <w:top w:val="none" w:sz="0" w:space="0" w:color="auto"/>
                                <w:left w:val="none" w:sz="0" w:space="0" w:color="auto"/>
                                <w:bottom w:val="none" w:sz="0" w:space="0" w:color="auto"/>
                                <w:right w:val="none" w:sz="0" w:space="0" w:color="auto"/>
                              </w:divBdr>
                            </w:div>
                          </w:divsChild>
                        </w:div>
                        <w:div w:id="1622833726">
                          <w:marLeft w:val="0"/>
                          <w:marRight w:val="0"/>
                          <w:marTop w:val="120"/>
                          <w:marBottom w:val="120"/>
                          <w:divBdr>
                            <w:top w:val="none" w:sz="0" w:space="0" w:color="auto"/>
                            <w:left w:val="none" w:sz="0" w:space="0" w:color="auto"/>
                            <w:bottom w:val="none" w:sz="0" w:space="0" w:color="auto"/>
                            <w:right w:val="none" w:sz="0" w:space="0" w:color="auto"/>
                          </w:divBdr>
                        </w:div>
                        <w:div w:id="1191720234">
                          <w:marLeft w:val="0"/>
                          <w:marRight w:val="0"/>
                          <w:marTop w:val="120"/>
                          <w:marBottom w:val="120"/>
                          <w:divBdr>
                            <w:top w:val="none" w:sz="0" w:space="0" w:color="auto"/>
                            <w:left w:val="none" w:sz="0" w:space="0" w:color="auto"/>
                            <w:bottom w:val="none" w:sz="0" w:space="0" w:color="auto"/>
                            <w:right w:val="none" w:sz="0" w:space="0" w:color="auto"/>
                          </w:divBdr>
                        </w:div>
                        <w:div w:id="630747419">
                          <w:marLeft w:val="0"/>
                          <w:marRight w:val="0"/>
                          <w:marTop w:val="120"/>
                          <w:marBottom w:val="120"/>
                          <w:divBdr>
                            <w:top w:val="none" w:sz="0" w:space="0" w:color="auto"/>
                            <w:left w:val="none" w:sz="0" w:space="0" w:color="auto"/>
                            <w:bottom w:val="none" w:sz="0" w:space="0" w:color="auto"/>
                            <w:right w:val="none" w:sz="0" w:space="0" w:color="auto"/>
                          </w:divBdr>
                        </w:div>
                        <w:div w:id="939214690">
                          <w:marLeft w:val="0"/>
                          <w:marRight w:val="0"/>
                          <w:marTop w:val="120"/>
                          <w:marBottom w:val="120"/>
                          <w:divBdr>
                            <w:top w:val="none" w:sz="0" w:space="0" w:color="auto"/>
                            <w:left w:val="none" w:sz="0" w:space="0" w:color="auto"/>
                            <w:bottom w:val="none" w:sz="0" w:space="0" w:color="auto"/>
                            <w:right w:val="none" w:sz="0" w:space="0" w:color="auto"/>
                          </w:divBdr>
                        </w:div>
                        <w:div w:id="142086829">
                          <w:marLeft w:val="0"/>
                          <w:marRight w:val="0"/>
                          <w:marTop w:val="120"/>
                          <w:marBottom w:val="120"/>
                          <w:divBdr>
                            <w:top w:val="none" w:sz="0" w:space="0" w:color="auto"/>
                            <w:left w:val="none" w:sz="0" w:space="0" w:color="auto"/>
                            <w:bottom w:val="none" w:sz="0" w:space="0" w:color="auto"/>
                            <w:right w:val="none" w:sz="0" w:space="0" w:color="auto"/>
                          </w:divBdr>
                        </w:div>
                        <w:div w:id="24135780">
                          <w:marLeft w:val="0"/>
                          <w:marRight w:val="0"/>
                          <w:marTop w:val="120"/>
                          <w:marBottom w:val="120"/>
                          <w:divBdr>
                            <w:top w:val="none" w:sz="0" w:space="0" w:color="auto"/>
                            <w:left w:val="none" w:sz="0" w:space="0" w:color="auto"/>
                            <w:bottom w:val="none" w:sz="0" w:space="0" w:color="auto"/>
                            <w:right w:val="none" w:sz="0" w:space="0" w:color="auto"/>
                          </w:divBdr>
                        </w:div>
                        <w:div w:id="1443646961">
                          <w:marLeft w:val="0"/>
                          <w:marRight w:val="0"/>
                          <w:marTop w:val="120"/>
                          <w:marBottom w:val="120"/>
                          <w:divBdr>
                            <w:top w:val="none" w:sz="0" w:space="0" w:color="auto"/>
                            <w:left w:val="none" w:sz="0" w:space="0" w:color="auto"/>
                            <w:bottom w:val="none" w:sz="0" w:space="0" w:color="auto"/>
                            <w:right w:val="none" w:sz="0" w:space="0" w:color="auto"/>
                          </w:divBdr>
                          <w:divsChild>
                            <w:div w:id="781195395">
                              <w:marLeft w:val="0"/>
                              <w:marRight w:val="0"/>
                              <w:marTop w:val="0"/>
                              <w:marBottom w:val="0"/>
                              <w:divBdr>
                                <w:top w:val="none" w:sz="0" w:space="0" w:color="auto"/>
                                <w:left w:val="none" w:sz="0" w:space="0" w:color="auto"/>
                                <w:bottom w:val="none" w:sz="0" w:space="0" w:color="auto"/>
                                <w:right w:val="none" w:sz="0" w:space="0" w:color="auto"/>
                              </w:divBdr>
                            </w:div>
                          </w:divsChild>
                        </w:div>
                        <w:div w:id="61310268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1</cp:revision>
  <cp:lastPrinted>2025-05-12T03:17:00Z</cp:lastPrinted>
  <dcterms:created xsi:type="dcterms:W3CDTF">2025-05-12T03:08:00Z</dcterms:created>
  <dcterms:modified xsi:type="dcterms:W3CDTF">2025-05-12T03:36:00Z</dcterms:modified>
</cp:coreProperties>
</file>