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shd w:val="clear" w:color="auto" w:fill="FFFFFF"/>
        <w:tblCellMar>
          <w:left w:w="0" w:type="dxa"/>
          <w:right w:w="0" w:type="dxa"/>
        </w:tblCellMar>
        <w:tblLook w:val="04A0" w:firstRow="1" w:lastRow="0" w:firstColumn="1" w:lastColumn="0" w:noHBand="0" w:noVBand="1"/>
      </w:tblPr>
      <w:tblGrid>
        <w:gridCol w:w="3539"/>
        <w:gridCol w:w="5821"/>
      </w:tblGrid>
      <w:tr w:rsidR="00E02A4E" w:rsidRPr="00E02A4E" w:rsidTr="00E02A4E">
        <w:tc>
          <w:tcPr>
            <w:tcW w:w="3348" w:type="dxa"/>
            <w:shd w:val="clear" w:color="auto" w:fill="FFFFFF"/>
            <w:tcMar>
              <w:top w:w="0" w:type="dxa"/>
              <w:left w:w="108" w:type="dxa"/>
              <w:bottom w:w="0" w:type="dxa"/>
              <w:right w:w="108" w:type="dxa"/>
            </w:tcMar>
            <w:hideMark/>
          </w:tcPr>
          <w:p w:rsidR="00E02A4E" w:rsidRPr="00E02A4E" w:rsidRDefault="00E02A4E" w:rsidP="00E02A4E">
            <w:pPr>
              <w:spacing w:before="100" w:beforeAutospacing="1" w:after="100" w:afterAutospacing="1" w:line="240" w:lineRule="auto"/>
              <w:jc w:val="center"/>
              <w:rPr>
                <w:rFonts w:ascii="Times New Roman" w:eastAsia="Times New Roman" w:hAnsi="Times New Roman" w:cs="Times New Roman"/>
                <w:color w:val="222222"/>
                <w:sz w:val="26"/>
                <w:szCs w:val="26"/>
              </w:rPr>
            </w:pPr>
            <w:r w:rsidRPr="00E02A4E">
              <w:rPr>
                <w:rFonts w:ascii="Arial" w:eastAsia="Times New Roman" w:hAnsi="Arial" w:cs="Arial"/>
                <w:b/>
                <w:bCs/>
                <w:color w:val="222222"/>
                <w:sz w:val="20"/>
                <w:szCs w:val="20"/>
              </w:rPr>
              <w:t>BỘ NỘI VỤ</w:t>
            </w:r>
            <w:r w:rsidRPr="00E02A4E">
              <w:rPr>
                <w:rFonts w:ascii="Arial" w:eastAsia="Times New Roman" w:hAnsi="Arial" w:cs="Arial"/>
                <w:b/>
                <w:bCs/>
                <w:color w:val="222222"/>
                <w:sz w:val="20"/>
                <w:szCs w:val="20"/>
              </w:rPr>
              <w:br/>
            </w:r>
            <w:r w:rsidRPr="00E02A4E">
              <w:rPr>
                <w:rFonts w:ascii="Arial" w:eastAsia="Times New Roman" w:hAnsi="Arial" w:cs="Arial"/>
                <w:color w:val="222222"/>
                <w:sz w:val="20"/>
                <w:szCs w:val="20"/>
              </w:rPr>
              <w:t>______</w:t>
            </w:r>
          </w:p>
        </w:tc>
        <w:tc>
          <w:tcPr>
            <w:tcW w:w="5508" w:type="dxa"/>
            <w:shd w:val="clear" w:color="auto" w:fill="FFFFFF"/>
            <w:tcMar>
              <w:top w:w="0" w:type="dxa"/>
              <w:left w:w="108" w:type="dxa"/>
              <w:bottom w:w="0" w:type="dxa"/>
              <w:right w:w="108" w:type="dxa"/>
            </w:tcMar>
            <w:hideMark/>
          </w:tcPr>
          <w:p w:rsidR="00E02A4E" w:rsidRPr="00E02A4E" w:rsidRDefault="00E02A4E" w:rsidP="00E02A4E">
            <w:pPr>
              <w:spacing w:before="100" w:beforeAutospacing="1" w:after="100" w:afterAutospacing="1" w:line="240" w:lineRule="auto"/>
              <w:jc w:val="center"/>
              <w:rPr>
                <w:rFonts w:ascii="Times New Roman" w:eastAsia="Times New Roman" w:hAnsi="Times New Roman" w:cs="Times New Roman"/>
                <w:color w:val="222222"/>
                <w:sz w:val="26"/>
                <w:szCs w:val="26"/>
              </w:rPr>
            </w:pPr>
            <w:r w:rsidRPr="00E02A4E">
              <w:rPr>
                <w:rFonts w:ascii="Arial" w:eastAsia="Times New Roman" w:hAnsi="Arial" w:cs="Arial"/>
                <w:b/>
                <w:bCs/>
                <w:color w:val="222222"/>
                <w:sz w:val="20"/>
                <w:szCs w:val="20"/>
              </w:rPr>
              <w:t>CỘNG HÒA XÃ HỘI CHỦ NGHĨA VIỆT NAM</w:t>
            </w:r>
            <w:r w:rsidRPr="00E02A4E">
              <w:rPr>
                <w:rFonts w:ascii="Arial" w:eastAsia="Times New Roman" w:hAnsi="Arial" w:cs="Arial"/>
                <w:b/>
                <w:bCs/>
                <w:color w:val="222222"/>
                <w:sz w:val="20"/>
                <w:szCs w:val="20"/>
              </w:rPr>
              <w:br/>
              <w:t>Độc lập - Tự do - Hạnh phúc</w:t>
            </w:r>
            <w:r w:rsidRPr="00E02A4E">
              <w:rPr>
                <w:rFonts w:ascii="Arial" w:eastAsia="Times New Roman" w:hAnsi="Arial" w:cs="Arial"/>
                <w:b/>
                <w:bCs/>
                <w:color w:val="222222"/>
                <w:sz w:val="20"/>
                <w:szCs w:val="20"/>
              </w:rPr>
              <w:br/>
            </w:r>
            <w:r w:rsidRPr="00E02A4E">
              <w:rPr>
                <w:rFonts w:ascii="Arial" w:eastAsia="Times New Roman" w:hAnsi="Arial" w:cs="Arial"/>
                <w:color w:val="222222"/>
                <w:sz w:val="20"/>
                <w:szCs w:val="20"/>
              </w:rPr>
              <w:t>__________________</w:t>
            </w:r>
          </w:p>
        </w:tc>
      </w:tr>
      <w:tr w:rsidR="00E02A4E" w:rsidRPr="00E02A4E" w:rsidTr="00E02A4E">
        <w:tc>
          <w:tcPr>
            <w:tcW w:w="3348" w:type="dxa"/>
            <w:shd w:val="clear" w:color="auto" w:fill="FFFFFF"/>
            <w:tcMar>
              <w:top w:w="0" w:type="dxa"/>
              <w:left w:w="108" w:type="dxa"/>
              <w:bottom w:w="0" w:type="dxa"/>
              <w:right w:w="108" w:type="dxa"/>
            </w:tcMar>
            <w:hideMark/>
          </w:tcPr>
          <w:p w:rsidR="00E02A4E" w:rsidRPr="00E02A4E" w:rsidRDefault="00E02A4E" w:rsidP="00E02A4E">
            <w:pPr>
              <w:spacing w:before="100" w:beforeAutospacing="1" w:after="100" w:afterAutospacing="1" w:line="240" w:lineRule="auto"/>
              <w:jc w:val="center"/>
              <w:rPr>
                <w:rFonts w:ascii="Times New Roman" w:eastAsia="Times New Roman" w:hAnsi="Times New Roman" w:cs="Times New Roman"/>
                <w:color w:val="222222"/>
                <w:sz w:val="26"/>
                <w:szCs w:val="26"/>
              </w:rPr>
            </w:pPr>
            <w:r w:rsidRPr="00E02A4E">
              <w:rPr>
                <w:rFonts w:ascii="Arial" w:eastAsia="Times New Roman" w:hAnsi="Arial" w:cs="Arial"/>
                <w:color w:val="222222"/>
                <w:sz w:val="20"/>
                <w:szCs w:val="20"/>
              </w:rPr>
              <w:t>Số: 441/QĐ-BNV</w:t>
            </w:r>
          </w:p>
        </w:tc>
        <w:tc>
          <w:tcPr>
            <w:tcW w:w="5508" w:type="dxa"/>
            <w:shd w:val="clear" w:color="auto" w:fill="FFFFFF"/>
            <w:tcMar>
              <w:top w:w="0" w:type="dxa"/>
              <w:left w:w="108" w:type="dxa"/>
              <w:bottom w:w="0" w:type="dxa"/>
              <w:right w:w="108" w:type="dxa"/>
            </w:tcMar>
            <w:hideMark/>
          </w:tcPr>
          <w:p w:rsidR="00E02A4E" w:rsidRPr="00E02A4E" w:rsidRDefault="00E02A4E" w:rsidP="00E02A4E">
            <w:pPr>
              <w:spacing w:before="100" w:beforeAutospacing="1" w:after="100" w:afterAutospacing="1" w:line="240" w:lineRule="auto"/>
              <w:jc w:val="center"/>
              <w:rPr>
                <w:rFonts w:ascii="Times New Roman" w:eastAsia="Times New Roman" w:hAnsi="Times New Roman" w:cs="Times New Roman"/>
                <w:color w:val="222222"/>
                <w:sz w:val="26"/>
                <w:szCs w:val="26"/>
              </w:rPr>
            </w:pPr>
            <w:r w:rsidRPr="00E02A4E">
              <w:rPr>
                <w:rFonts w:ascii="Arial" w:eastAsia="Times New Roman" w:hAnsi="Arial" w:cs="Arial"/>
                <w:i/>
                <w:iCs/>
                <w:color w:val="222222"/>
                <w:sz w:val="20"/>
                <w:szCs w:val="20"/>
              </w:rPr>
              <w:t>Hà Nội, ngày 21 tháng 6 năm 2023</w:t>
            </w:r>
          </w:p>
        </w:tc>
      </w:tr>
    </w:tbl>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b/>
          <w:bCs/>
          <w:color w:val="222222"/>
          <w:sz w:val="20"/>
          <w:szCs w:val="20"/>
        </w:rPr>
        <w:t>QUYẾT ĐỊNH</w:t>
      </w:r>
    </w:p>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b/>
          <w:bCs/>
          <w:color w:val="222222"/>
          <w:sz w:val="20"/>
          <w:szCs w:val="20"/>
        </w:rPr>
        <w:t>VỀ VIỆC CÔNG NHẬN ĐIỀU LỆ (SỬA ĐỔI, BỔ SUNG) QUỸ GIẢI THƯỞNG TÀI NĂNG NỮ VIỆT NAM</w:t>
      </w:r>
    </w:p>
    <w:p w:rsidR="00E02A4E" w:rsidRPr="00E02A4E" w:rsidRDefault="00E02A4E" w:rsidP="00E02A4E">
      <w:pPr>
        <w:spacing w:before="100" w:beforeAutospacing="1" w:after="100" w:afterAutospacing="1" w:line="240" w:lineRule="auto"/>
        <w:jc w:val="center"/>
        <w:rPr>
          <w:rFonts w:ascii="Arial" w:eastAsia="Times New Roman" w:hAnsi="Arial" w:cs="Arial"/>
          <w:color w:val="000000"/>
          <w:sz w:val="26"/>
          <w:szCs w:val="26"/>
        </w:rPr>
      </w:pPr>
      <w:r w:rsidRPr="00E02A4E">
        <w:rPr>
          <w:rFonts w:ascii="Arial" w:eastAsia="Times New Roman" w:hAnsi="Arial" w:cs="Arial"/>
          <w:color w:val="000000"/>
          <w:sz w:val="20"/>
          <w:szCs w:val="20"/>
        </w:rPr>
        <w:t>________</w:t>
      </w:r>
    </w:p>
    <w:p w:rsidR="00E02A4E" w:rsidRPr="00E02A4E" w:rsidRDefault="00E02A4E" w:rsidP="00E02A4E">
      <w:pPr>
        <w:spacing w:before="100" w:beforeAutospacing="1" w:after="100" w:afterAutospacing="1" w:line="240" w:lineRule="auto"/>
        <w:jc w:val="center"/>
        <w:rPr>
          <w:rFonts w:ascii="Arial" w:eastAsia="Times New Roman" w:hAnsi="Arial" w:cs="Arial"/>
          <w:color w:val="000000"/>
          <w:sz w:val="26"/>
          <w:szCs w:val="26"/>
        </w:rPr>
      </w:pPr>
      <w:r w:rsidRPr="00E02A4E">
        <w:rPr>
          <w:rFonts w:ascii="Arial" w:eastAsia="Times New Roman" w:hAnsi="Arial" w:cs="Arial"/>
          <w:b/>
          <w:bCs/>
          <w:color w:val="000000"/>
          <w:sz w:val="20"/>
          <w:szCs w:val="20"/>
        </w:rPr>
        <w:t>BỘ TRƯỞNG BỘ NỘI VỤ</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i/>
          <w:iCs/>
          <w:color w:val="222222"/>
          <w:sz w:val="20"/>
          <w:szCs w:val="20"/>
        </w:rPr>
        <w:t>Căn cứ Nghị định số </w:t>
      </w:r>
      <w:r w:rsidRPr="00E02A4E">
        <w:rPr>
          <w:rFonts w:ascii="Arial" w:eastAsia="Times New Roman" w:hAnsi="Arial" w:cs="Arial"/>
          <w:i/>
          <w:iCs/>
          <w:color w:val="A67C52"/>
          <w:sz w:val="20"/>
          <w:szCs w:val="20"/>
        </w:rPr>
        <w:t>63/2022/NĐ-CP</w:t>
      </w:r>
      <w:r w:rsidRPr="00E02A4E">
        <w:rPr>
          <w:rFonts w:ascii="Arial" w:eastAsia="Times New Roman" w:hAnsi="Arial" w:cs="Arial"/>
          <w:i/>
          <w:iCs/>
          <w:color w:val="222222"/>
          <w:sz w:val="20"/>
          <w:szCs w:val="20"/>
        </w:rPr>
        <w:t> ngày 12 tháng 9 năm 2022 của Chính phủ quy định chức năng, nhiệm vụ, quyền hạn và cơ cấu tổ chức của Bộ Nội vụ;</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i/>
          <w:iCs/>
          <w:color w:val="222222"/>
          <w:sz w:val="20"/>
          <w:szCs w:val="20"/>
        </w:rPr>
        <w:t>Căn cứ Nghị định số </w:t>
      </w:r>
      <w:r w:rsidRPr="00E02A4E">
        <w:rPr>
          <w:rFonts w:ascii="Arial" w:eastAsia="Times New Roman" w:hAnsi="Arial" w:cs="Arial"/>
          <w:i/>
          <w:iCs/>
          <w:color w:val="A67C52"/>
          <w:sz w:val="20"/>
          <w:szCs w:val="20"/>
        </w:rPr>
        <w:t>93/2019/NĐ-CP</w:t>
      </w:r>
      <w:r w:rsidRPr="00E02A4E">
        <w:rPr>
          <w:rFonts w:ascii="Arial" w:eastAsia="Times New Roman" w:hAnsi="Arial" w:cs="Arial"/>
          <w:i/>
          <w:iCs/>
          <w:color w:val="222222"/>
          <w:sz w:val="20"/>
          <w:szCs w:val="20"/>
        </w:rPr>
        <w:t> ngày 25 tháng 11 năm 2019 của Chính phủ quy định về tổ chức, hoạt động của quỹ xã hội, quỹ từ thiện;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i/>
          <w:iCs/>
          <w:color w:val="222222"/>
          <w:sz w:val="20"/>
          <w:szCs w:val="20"/>
        </w:rPr>
        <w:t>Theo đề nghị của Hội đồng quản lý Quỹ Giải thưởng tài năng nữ Việt Nam và Vụ trưởng Vụ Tổ chức phi chính phủ.</w:t>
      </w:r>
    </w:p>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b/>
          <w:bCs/>
          <w:color w:val="222222"/>
          <w:sz w:val="20"/>
          <w:szCs w:val="20"/>
        </w:rPr>
        <w:t>QUYẾT ĐỊNH:</w:t>
      </w:r>
    </w:p>
    <w:p w:rsidR="00E02A4E" w:rsidRPr="00E02A4E" w:rsidRDefault="00E02A4E" w:rsidP="00E02A4E">
      <w:pPr>
        <w:spacing w:after="120" w:line="240" w:lineRule="auto"/>
        <w:rPr>
          <w:rFonts w:ascii="Arial" w:eastAsia="Times New Roman" w:hAnsi="Arial" w:cs="Arial"/>
          <w:color w:val="2E2E2E"/>
          <w:sz w:val="26"/>
          <w:szCs w:val="26"/>
        </w:rPr>
      </w:pPr>
      <w:r w:rsidRPr="00E02A4E">
        <w:rPr>
          <w:rFonts w:ascii="Arial" w:eastAsia="Times New Roman" w:hAnsi="Arial" w:cs="Arial"/>
          <w:b/>
          <w:bCs/>
          <w:color w:val="2E2E2E"/>
          <w:sz w:val="26"/>
          <w:szCs w:val="26"/>
        </w:rPr>
        <w:t>Điều 1. Công nhận Điều lệ (sửa đổi, bổ sung) lần thứ nhất của Quỹ Giải thưởng tài năng nữ Việt Nam ban hành kèm theo Quyết định này. Điều lệ này thay thế Điều lệ được công nhận tại Quyết định số </w:t>
      </w:r>
      <w:r w:rsidRPr="00E02A4E">
        <w:rPr>
          <w:rFonts w:ascii="Arial" w:eastAsia="Times New Roman" w:hAnsi="Arial" w:cs="Arial"/>
          <w:b/>
          <w:bCs/>
          <w:color w:val="A67C52"/>
          <w:sz w:val="26"/>
          <w:szCs w:val="26"/>
        </w:rPr>
        <w:t>1842/QĐ-BNV</w:t>
      </w:r>
      <w:r w:rsidRPr="00E02A4E">
        <w:rPr>
          <w:rFonts w:ascii="Arial" w:eastAsia="Times New Roman" w:hAnsi="Arial" w:cs="Arial"/>
          <w:b/>
          <w:bCs/>
          <w:color w:val="2E2E2E"/>
          <w:sz w:val="26"/>
          <w:szCs w:val="26"/>
        </w:rPr>
        <w:t> ngày 03 tháng 11 năm 2011 của Bộ trưởng Bộ Nội vụ về việc cấp Giấy phép thành lập và công nhận Điều lệ Quỹ Giải thưởng tài năng nữ Việt Nam.</w:t>
      </w:r>
    </w:p>
    <w:p w:rsidR="00E02A4E" w:rsidRPr="00E02A4E" w:rsidRDefault="00E02A4E" w:rsidP="00E02A4E">
      <w:pPr>
        <w:spacing w:after="120" w:line="240" w:lineRule="auto"/>
        <w:rPr>
          <w:rFonts w:ascii="Arial" w:eastAsia="Times New Roman" w:hAnsi="Arial" w:cs="Arial"/>
          <w:color w:val="2E2E2E"/>
          <w:sz w:val="26"/>
          <w:szCs w:val="26"/>
        </w:rPr>
      </w:pPr>
      <w:r w:rsidRPr="00E02A4E">
        <w:rPr>
          <w:rFonts w:ascii="Arial" w:eastAsia="Times New Roman" w:hAnsi="Arial" w:cs="Arial"/>
          <w:b/>
          <w:bCs/>
          <w:color w:val="2E2E2E"/>
          <w:sz w:val="26"/>
          <w:szCs w:val="26"/>
        </w:rPr>
        <w:t>Điều 2. Quyết định này có hiệu lực kể từ ngày ký.</w:t>
      </w:r>
    </w:p>
    <w:p w:rsidR="00E02A4E" w:rsidRPr="00E02A4E" w:rsidRDefault="00E02A4E" w:rsidP="00E02A4E">
      <w:pPr>
        <w:spacing w:line="240" w:lineRule="auto"/>
        <w:rPr>
          <w:rFonts w:ascii="Arial" w:eastAsia="Times New Roman" w:hAnsi="Arial" w:cs="Arial"/>
          <w:color w:val="2E2E2E"/>
          <w:sz w:val="26"/>
          <w:szCs w:val="26"/>
        </w:rPr>
      </w:pPr>
      <w:r w:rsidRPr="00E02A4E">
        <w:rPr>
          <w:rFonts w:ascii="Arial" w:eastAsia="Times New Roman" w:hAnsi="Arial" w:cs="Arial"/>
          <w:b/>
          <w:bCs/>
          <w:color w:val="2E2E2E"/>
          <w:sz w:val="26"/>
          <w:szCs w:val="26"/>
        </w:rPr>
        <w:t>Điều 3. Chủ tịch Hội đồng quản lý Quỹ Giải thưởng tài năng nữ Việt Nam, Vụ trưởng Vụ Tổ chức phi chính phủ và Chánh Văn phòng Bộ Nội vụ chịu trách nhiệm thi hành Quyết định này./.</w:t>
      </w:r>
    </w:p>
    <w:tbl>
      <w:tblPr>
        <w:tblW w:w="5000" w:type="pct"/>
        <w:shd w:val="clear" w:color="auto" w:fill="FFFFFF"/>
        <w:tblCellMar>
          <w:left w:w="0" w:type="dxa"/>
          <w:right w:w="0" w:type="dxa"/>
        </w:tblCellMar>
        <w:tblLook w:val="04A0" w:firstRow="1" w:lastRow="0" w:firstColumn="1" w:lastColumn="0" w:noHBand="0" w:noVBand="1"/>
      </w:tblPr>
      <w:tblGrid>
        <w:gridCol w:w="4680"/>
        <w:gridCol w:w="4680"/>
      </w:tblGrid>
      <w:tr w:rsidR="00E02A4E" w:rsidRPr="00E02A4E" w:rsidTr="00E02A4E">
        <w:tc>
          <w:tcPr>
            <w:tcW w:w="4428" w:type="dxa"/>
            <w:shd w:val="clear" w:color="auto" w:fill="FFFFFF"/>
            <w:tcMar>
              <w:top w:w="0" w:type="dxa"/>
              <w:left w:w="108" w:type="dxa"/>
              <w:bottom w:w="0" w:type="dxa"/>
              <w:right w:w="108" w:type="dxa"/>
            </w:tcMar>
            <w:hideMark/>
          </w:tcPr>
          <w:p w:rsidR="00E02A4E" w:rsidRPr="00E02A4E" w:rsidRDefault="00E02A4E" w:rsidP="00E02A4E">
            <w:pPr>
              <w:spacing w:before="100" w:beforeAutospacing="1" w:after="100" w:afterAutospacing="1" w:line="240" w:lineRule="auto"/>
              <w:rPr>
                <w:rFonts w:ascii="Times New Roman" w:eastAsia="Times New Roman" w:hAnsi="Times New Roman" w:cs="Times New Roman"/>
                <w:color w:val="222222"/>
                <w:sz w:val="26"/>
                <w:szCs w:val="26"/>
              </w:rPr>
            </w:pPr>
            <w:r w:rsidRPr="00E02A4E">
              <w:rPr>
                <w:rFonts w:ascii="Arial" w:eastAsia="Times New Roman" w:hAnsi="Arial" w:cs="Arial"/>
                <w:b/>
                <w:bCs/>
                <w:i/>
                <w:iCs/>
                <w:color w:val="222222"/>
                <w:sz w:val="20"/>
                <w:szCs w:val="20"/>
              </w:rPr>
              <w:t>Nơi nhận:</w:t>
            </w:r>
            <w:r w:rsidRPr="00E02A4E">
              <w:rPr>
                <w:rFonts w:ascii="Arial" w:eastAsia="Times New Roman" w:hAnsi="Arial" w:cs="Arial"/>
                <w:b/>
                <w:bCs/>
                <w:i/>
                <w:iCs/>
                <w:color w:val="222222"/>
                <w:sz w:val="20"/>
                <w:szCs w:val="20"/>
              </w:rPr>
              <w:br/>
            </w:r>
            <w:r w:rsidRPr="00E02A4E">
              <w:rPr>
                <w:rFonts w:ascii="Arial" w:eastAsia="Times New Roman" w:hAnsi="Arial" w:cs="Arial"/>
                <w:color w:val="222222"/>
                <w:sz w:val="20"/>
                <w:szCs w:val="20"/>
              </w:rPr>
              <w:t>- Như Điều 3;</w:t>
            </w:r>
            <w:r w:rsidRPr="00E02A4E">
              <w:rPr>
                <w:rFonts w:ascii="Arial" w:eastAsia="Times New Roman" w:hAnsi="Arial" w:cs="Arial"/>
                <w:color w:val="222222"/>
                <w:sz w:val="20"/>
                <w:szCs w:val="20"/>
              </w:rPr>
              <w:br/>
              <w:t>- Bộ trưởng (để b/c);</w:t>
            </w:r>
            <w:r w:rsidRPr="00E02A4E">
              <w:rPr>
                <w:rFonts w:ascii="Arial" w:eastAsia="Times New Roman" w:hAnsi="Arial" w:cs="Arial"/>
                <w:color w:val="222222"/>
                <w:sz w:val="20"/>
                <w:szCs w:val="20"/>
              </w:rPr>
              <w:br/>
              <w:t>- Thứ trưởng Vũ Chiến Thắng;</w:t>
            </w:r>
            <w:r w:rsidRPr="00E02A4E">
              <w:rPr>
                <w:rFonts w:ascii="Arial" w:eastAsia="Times New Roman" w:hAnsi="Arial" w:cs="Arial"/>
                <w:color w:val="222222"/>
                <w:sz w:val="20"/>
                <w:szCs w:val="20"/>
              </w:rPr>
              <w:br/>
              <w:t>- Bộ LĐ-TB&amp;XH;</w:t>
            </w:r>
            <w:r w:rsidRPr="00E02A4E">
              <w:rPr>
                <w:rFonts w:ascii="Arial" w:eastAsia="Times New Roman" w:hAnsi="Arial" w:cs="Arial"/>
                <w:color w:val="222222"/>
                <w:sz w:val="20"/>
                <w:szCs w:val="20"/>
              </w:rPr>
              <w:br/>
              <w:t>- Lưu: VT, TCPCP, N.</w:t>
            </w:r>
          </w:p>
        </w:tc>
        <w:tc>
          <w:tcPr>
            <w:tcW w:w="4428" w:type="dxa"/>
            <w:shd w:val="clear" w:color="auto" w:fill="FFFFFF"/>
            <w:tcMar>
              <w:top w:w="0" w:type="dxa"/>
              <w:left w:w="108" w:type="dxa"/>
              <w:bottom w:w="0" w:type="dxa"/>
              <w:right w:w="108" w:type="dxa"/>
            </w:tcMar>
            <w:hideMark/>
          </w:tcPr>
          <w:p w:rsidR="00E02A4E" w:rsidRPr="00E02A4E" w:rsidRDefault="00E02A4E" w:rsidP="00E02A4E">
            <w:pPr>
              <w:spacing w:before="100" w:beforeAutospacing="1" w:after="100" w:afterAutospacing="1" w:line="240" w:lineRule="auto"/>
              <w:jc w:val="center"/>
              <w:rPr>
                <w:rFonts w:ascii="Times New Roman" w:eastAsia="Times New Roman" w:hAnsi="Times New Roman" w:cs="Times New Roman"/>
                <w:color w:val="222222"/>
                <w:sz w:val="26"/>
                <w:szCs w:val="26"/>
              </w:rPr>
            </w:pPr>
            <w:r w:rsidRPr="00E02A4E">
              <w:rPr>
                <w:rFonts w:ascii="Arial" w:eastAsia="Times New Roman" w:hAnsi="Arial" w:cs="Arial"/>
                <w:b/>
                <w:bCs/>
                <w:color w:val="222222"/>
                <w:sz w:val="20"/>
                <w:szCs w:val="20"/>
              </w:rPr>
              <w:t>KT. BỘ TRƯỞNG</w:t>
            </w:r>
            <w:r w:rsidRPr="00E02A4E">
              <w:rPr>
                <w:rFonts w:ascii="Arial" w:eastAsia="Times New Roman" w:hAnsi="Arial" w:cs="Arial"/>
                <w:b/>
                <w:bCs/>
                <w:color w:val="222222"/>
                <w:sz w:val="20"/>
                <w:szCs w:val="20"/>
              </w:rPr>
              <w:br/>
              <w:t>THỨ TRƯỞNG</w:t>
            </w:r>
            <w:r w:rsidRPr="00E02A4E">
              <w:rPr>
                <w:rFonts w:ascii="Arial" w:eastAsia="Times New Roman" w:hAnsi="Arial" w:cs="Arial"/>
                <w:b/>
                <w:bCs/>
                <w:color w:val="222222"/>
                <w:sz w:val="20"/>
                <w:szCs w:val="20"/>
              </w:rPr>
              <w:br/>
            </w:r>
            <w:r w:rsidRPr="00E02A4E">
              <w:rPr>
                <w:rFonts w:ascii="Arial" w:eastAsia="Times New Roman" w:hAnsi="Arial" w:cs="Arial"/>
                <w:b/>
                <w:bCs/>
                <w:color w:val="222222"/>
                <w:sz w:val="20"/>
                <w:szCs w:val="20"/>
              </w:rPr>
              <w:br/>
            </w:r>
            <w:r w:rsidRPr="00E02A4E">
              <w:rPr>
                <w:rFonts w:ascii="Arial" w:eastAsia="Times New Roman" w:hAnsi="Arial" w:cs="Arial"/>
                <w:b/>
                <w:bCs/>
                <w:color w:val="222222"/>
                <w:sz w:val="20"/>
                <w:szCs w:val="20"/>
              </w:rPr>
              <w:br/>
            </w:r>
            <w:r w:rsidRPr="00E02A4E">
              <w:rPr>
                <w:rFonts w:ascii="Arial" w:eastAsia="Times New Roman" w:hAnsi="Arial" w:cs="Arial"/>
                <w:b/>
                <w:bCs/>
                <w:color w:val="222222"/>
                <w:sz w:val="20"/>
                <w:szCs w:val="20"/>
              </w:rPr>
              <w:br/>
            </w:r>
            <w:r w:rsidRPr="00E02A4E">
              <w:rPr>
                <w:rFonts w:ascii="Arial" w:eastAsia="Times New Roman" w:hAnsi="Arial" w:cs="Arial"/>
                <w:b/>
                <w:bCs/>
                <w:color w:val="222222"/>
                <w:sz w:val="20"/>
                <w:szCs w:val="20"/>
              </w:rPr>
              <w:br/>
              <w:t>Vũ Chiến Thắng</w:t>
            </w:r>
          </w:p>
        </w:tc>
      </w:tr>
    </w:tbl>
    <w:p w:rsidR="00E02A4E" w:rsidRDefault="00E02A4E" w:rsidP="00E02A4E">
      <w:pPr>
        <w:shd w:val="clear" w:color="auto" w:fill="FFFFFF"/>
        <w:spacing w:before="100" w:beforeAutospacing="1" w:after="100" w:afterAutospacing="1" w:line="240" w:lineRule="auto"/>
        <w:jc w:val="center"/>
        <w:rPr>
          <w:rFonts w:ascii="Arial" w:eastAsia="Times New Roman" w:hAnsi="Arial" w:cs="Arial"/>
          <w:b/>
          <w:bCs/>
          <w:color w:val="222222"/>
          <w:sz w:val="20"/>
          <w:szCs w:val="20"/>
        </w:rPr>
      </w:pPr>
    </w:p>
    <w:p w:rsidR="00E02A4E" w:rsidRDefault="00E02A4E" w:rsidP="00E02A4E">
      <w:pPr>
        <w:shd w:val="clear" w:color="auto" w:fill="FFFFFF"/>
        <w:spacing w:before="100" w:beforeAutospacing="1" w:after="100" w:afterAutospacing="1" w:line="240" w:lineRule="auto"/>
        <w:jc w:val="center"/>
        <w:rPr>
          <w:rFonts w:ascii="Arial" w:eastAsia="Times New Roman" w:hAnsi="Arial" w:cs="Arial"/>
          <w:b/>
          <w:bCs/>
          <w:color w:val="222222"/>
          <w:sz w:val="20"/>
          <w:szCs w:val="20"/>
        </w:rPr>
      </w:pPr>
    </w:p>
    <w:p w:rsidR="00E02A4E" w:rsidRDefault="00E02A4E" w:rsidP="00E02A4E">
      <w:pPr>
        <w:shd w:val="clear" w:color="auto" w:fill="FFFFFF"/>
        <w:spacing w:before="100" w:beforeAutospacing="1" w:after="100" w:afterAutospacing="1" w:line="240" w:lineRule="auto"/>
        <w:jc w:val="center"/>
        <w:rPr>
          <w:rFonts w:ascii="Arial" w:eastAsia="Times New Roman" w:hAnsi="Arial" w:cs="Arial"/>
          <w:b/>
          <w:bCs/>
          <w:color w:val="222222"/>
          <w:sz w:val="20"/>
          <w:szCs w:val="20"/>
        </w:rPr>
      </w:pPr>
    </w:p>
    <w:p w:rsidR="00E02A4E" w:rsidRDefault="00E02A4E" w:rsidP="00E02A4E">
      <w:pPr>
        <w:shd w:val="clear" w:color="auto" w:fill="FFFFFF"/>
        <w:spacing w:before="100" w:beforeAutospacing="1" w:after="100" w:afterAutospacing="1" w:line="240" w:lineRule="auto"/>
        <w:jc w:val="center"/>
        <w:rPr>
          <w:rFonts w:ascii="Arial" w:eastAsia="Times New Roman" w:hAnsi="Arial" w:cs="Arial"/>
          <w:b/>
          <w:bCs/>
          <w:color w:val="222222"/>
          <w:sz w:val="20"/>
          <w:szCs w:val="20"/>
        </w:rPr>
      </w:pPr>
    </w:p>
    <w:p w:rsidR="00E02A4E" w:rsidRDefault="00E02A4E" w:rsidP="00E02A4E">
      <w:pPr>
        <w:shd w:val="clear" w:color="auto" w:fill="FFFFFF"/>
        <w:spacing w:before="100" w:beforeAutospacing="1" w:after="100" w:afterAutospacing="1" w:line="240" w:lineRule="auto"/>
        <w:jc w:val="center"/>
        <w:rPr>
          <w:rFonts w:ascii="Arial" w:eastAsia="Times New Roman" w:hAnsi="Arial" w:cs="Arial"/>
          <w:b/>
          <w:bCs/>
          <w:color w:val="222222"/>
          <w:sz w:val="20"/>
          <w:szCs w:val="20"/>
        </w:rPr>
      </w:pPr>
    </w:p>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LỆ (SỬA ĐỔI, BỔ SUNG)</w:t>
      </w:r>
    </w:p>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color w:val="222222"/>
          <w:sz w:val="20"/>
          <w:szCs w:val="20"/>
        </w:rPr>
        <w:t>QUỸ GIẢI THƯỞNG TÀI NĂNG NỮ VIỆT NAM</w:t>
      </w:r>
      <w:r w:rsidRPr="00E02A4E">
        <w:rPr>
          <w:rFonts w:ascii="Arial" w:eastAsia="Times New Roman" w:hAnsi="Arial" w:cs="Arial"/>
          <w:color w:val="222222"/>
          <w:sz w:val="20"/>
          <w:szCs w:val="20"/>
        </w:rPr>
        <w:br/>
      </w:r>
      <w:r w:rsidRPr="00E02A4E">
        <w:rPr>
          <w:rFonts w:ascii="Arial" w:eastAsia="Times New Roman" w:hAnsi="Arial" w:cs="Arial"/>
          <w:i/>
          <w:iCs/>
          <w:color w:val="222222"/>
          <w:sz w:val="20"/>
          <w:szCs w:val="20"/>
        </w:rPr>
        <w:t>(Được công nhận kèm theo Quyết định số: 441/QĐ-BNV ngày 21 tháng 6 năm 2023</w:t>
      </w:r>
      <w:r w:rsidRPr="00E02A4E">
        <w:rPr>
          <w:rFonts w:ascii="Arial" w:eastAsia="Times New Roman" w:hAnsi="Arial" w:cs="Arial"/>
          <w:color w:val="222222"/>
          <w:sz w:val="20"/>
          <w:szCs w:val="20"/>
        </w:rPr>
        <w:t> </w:t>
      </w:r>
      <w:r w:rsidRPr="00E02A4E">
        <w:rPr>
          <w:rFonts w:ascii="Arial" w:eastAsia="Times New Roman" w:hAnsi="Arial" w:cs="Arial"/>
          <w:i/>
          <w:iCs/>
          <w:color w:val="222222"/>
          <w:sz w:val="20"/>
          <w:szCs w:val="20"/>
        </w:rPr>
        <w:t>của Bộ trưởng Bộ Nội vụ)</w:t>
      </w:r>
    </w:p>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b/>
          <w:bCs/>
          <w:color w:val="222222"/>
          <w:sz w:val="20"/>
          <w:szCs w:val="20"/>
        </w:rPr>
        <w:t>Chương I</w:t>
      </w:r>
    </w:p>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b/>
          <w:bCs/>
          <w:color w:val="222222"/>
          <w:sz w:val="20"/>
          <w:szCs w:val="20"/>
        </w:rPr>
        <w:t>QUY ĐỊNH CHUNG</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1. Tên gọi, biểu tượng, trụ sở</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1. Tên gọi:</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a) Tên tiếng Việt: Quỹ Giải thưởng tài năng nữ Việt Nam;</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b) Tên tiếng Anh: Viet Nam Women Talents Foundation;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c) Tên viết tắt tiếng Anh: VWTF.</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Biểu tượng (logo): Quỹ có biểu tượng riêng được đăng ký bản quyền theo quy định của pháp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3. Trụ sở của Quỹ: Số 39 phố Hàng Chuối, Phường Phạm Đình Hổ, Quận Hai Bà Trưng, thành phố Hà Nội.</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4. Điện thoại: 0243.9720041. Email: giaithuongphunuvn@vwu.vn.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2. Tôn chỉ, mục đích</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Quỹ Giải thưởng tài năng nữ Việt Nam (sau đây gọi tắt là Quỹ) là quỹ xã hội, hoạt động không vì mục tiêu lợi nhuận, nhằm mục đích khen thưởng, biểu dương các nữ công dân và tập thể phụ nữ Việt Nam có thành tích, tài năng thuộc các lứa tuổi, các lĩnh vực công tác, ngành nghề để phát huy khả năng, sức sáng tạo, không ngừng vươn lên trong học tập, nghiên cứu và lao động xây dựng đất nước.</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3. Nguyên tắc tổ chức, phạm vi hoạt động và địa vị pháp lý</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1. Quỹ được hình thành từ tài sản đóng góp ban đầu của các sáng lập viên và tăng trưởng tài sản Quỹ trên cơ sở vận động tài trợ, vận động quyên góp của các tổ chức, cá nhân trong và ngoài nước theo quy định của pháp luật để thực hiện các hoạt động theo tôn chỉ, mục đích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Quỹ được tổ chức và hoạt động theo nguyên tắc:</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a) Thành lập và hoạt động không vì mục tiêu lợi nhuận;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b) Tự nguyện, tự chủ, tự trang trải kinh phí và tự chịu trách nhiệm trước pháp luật bằng tài sản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c) Tổ chức, hoạt động theo quy định của pháp luật và Điều lệ Quỹ được Bộ Nội vụ công nhận, chịu sự quản lý nhà nước của Bộ Lao động - Thương Binh và Xã hội về ngành lĩnh vực Quỹ hoạt động;</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lastRenderedPageBreak/>
        <w:t>d) Công khai, minh bạch về tổ chức, hoạt động và thu, chi, tài chính, tài sản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đ) Không phân chia tài sản của Quỹ trong quá trình Quỹ đang hoạt động.</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3. Quỹ có phạm vi hoạt động trong toàn quốc.</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4. Quỹ có tư cách pháp nhân, có con dấu, tài khoản tại ngân hàng theo quy định của pháp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4. Sáng lập viên thành lập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1. Sáng lập viên của Quỹ là Hội Liên hiệp Phụ nữ Việt Nam.</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Địa chỉ: số 39 Hàng Chuối, Phường Phạm Đình Hổ, Quận Hai Bà</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Trưng, thành phố Hà Nội.</w:t>
      </w:r>
    </w:p>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b/>
          <w:bCs/>
          <w:color w:val="222222"/>
          <w:sz w:val="20"/>
          <w:szCs w:val="20"/>
        </w:rPr>
        <w:t>Chương II</w:t>
      </w:r>
    </w:p>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b/>
          <w:bCs/>
          <w:color w:val="222222"/>
          <w:sz w:val="20"/>
          <w:szCs w:val="20"/>
        </w:rPr>
        <w:t>CHỨC NĂNG, NHIỆM VỤ; QUYỀN HẠN VÀ NGHĨA VỤ</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5. Chức năng, nhiệm vụ</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1. Sử dụng nguồn tài sản của Quỹ để hỗ trợ, tài trợ cho các đối tượng, các chương trình, dự án phù hợp với tôn chỉ, mục đích của Quỹ và quy định của pháp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Tiếp nhận và quản lý tài sản được tài trợ, viện trợ theo ủy quyền từ các tổ chức cá nhân trong và ngoài nước để thực hiện các hoạt động theo hợp đồng ủy quyền phù hợp với tôn chỉ, mục đích củ a Quỹ và quy định của pháp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3. Tiếp nhận tài sản từ các tổ chức, cá nhân trong và ngoài nước tài trợ, hiến, tặng hoặc các hình thức khác theo quy định của pháp luật để bảo tồn và tăng trưởng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4. Định kỳ hàng năm tổ chức xét chọn và trao giải thưởng Phụ nữ Việt Nam cho các tập thể và cá nhân phụ nữ theo tiêu chuẩn của Quỹ và quy định của pháp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5. Tuyên truyền, giới thiệu mục đích, ý nghĩa và các hoạt động của Quỹ, thành tích của các tập thể, cá nhân phụ nữ Việt Nam được Quỹ tôn vinh trao giải trên các phương tiện thông tin đại chúng theo quy định của pháp luật nằm cổ vũ, phát huy tài năng của phụ nữ, đồng thời nâng cao nhận thức của toàn xã hội về những đóng góp của phụ nữ đối với sự phát triển của đất nước. Chia sẻ, trao đổi kinh nghiệm của các tài năng nữ và kiến nghị đề xuất nhằm phát huy vai trò của tài năng nữ.</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6. Quyền hạn và nghĩa vụ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1. Quyền hạn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a) Tổ chức, hoạt động theo pháp luật và Điều lệ đã được cơ quan nhà nước có thẩm quyền công nhận;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b) Vận động quyên góp, tài trợ cho Quỹ; tiếp nhận tài sản do các cá nhân, tổ chức trong nước và ngoài nước tài trợ, hiến, tặng hoặc bằng các hình thức khác theo đúng mục đích của Quỹ và quy định của pháp luật. Tổ chức các hoạt động theo quy định của pháp luật để bảo tồn và tăng trưởng tài sản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lastRenderedPageBreak/>
        <w:t>c) Được thành lập pháp nhân trực thuộc theo quy định của pháp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d) Được quyền khiếu nại theo quy định của pháp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đ) Quỹ được phối hợp với cá nhân, tổ chức để vận động quyên góp, vận động tài trợ cho Quỹ hoặc để triển khai các đề án, dự án cụ thể của Quỹ theo quy định của pháp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e) Phối hợp với các địa phương, tổ chức, cá nhân cần sự trợ giúp để xây dựng và thực hiện các đề án tài trợ theo mục đích hoạt động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Nghĩa vụ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a) Quỹ hoạt động trong lĩnh vực nào thì phải chấp hành sự quản lý của cơ quan nhà nước về ngành, lĩnh vực đó. Quỹ hoạt động và chỉ được tiếp nhận tài trợ, vận động tài trợ trong phạm vi hoạt động theo Điều lệ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b) Thực hiện tài trợ đúng theo yêu cầu của cá nhân, tổ chức đã ủy quyền phù hợp với mục đích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c) Lưu trữ và có trách nhiệm cung cấp đầy đủ hồ sơ, các chứng từ, tài liệu về tài sản, tài chính của Quỹ, nghị quyết, biên bản về các hoạt động của Quỹ cho cơ quan nhà nước có thẩm quyền theo quy định của pháp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d) Sử dụng tài sản, tài chính tiết kiệm và hiệu quả theo đúng mục đích của Quỹ; nộp thuế, phí, lệ phí và thực hiện chế độ kế toán, kiểm toán, thống kê theo quy định của pháp luật; phải đăng ký mã số thuế và kê khai thuế theo quy định của pháp luật về thuế;</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đ) Chịu sự thanh tra, kiểm tra, giám sát của cơ quan nhà nước, các tổ chức, cá nhân tài trợ và cộng đồng theo quy định của pháp luật. Có trách nhiệm giải quyết khiếu nại, tố cáo trong nội bộ Quỹ và báo cáo kết quả giải quyết với cơ quan nhà nước có thẩm quyền;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e) Hàng năm, Quỹ có trách nhiệm công khai các khoản đóng góp trên phương tiện thông tin đại chúng trước ngày 31 tháng 3;</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g) Khi thay đổi trụ sở chính hoặc Giám đốc Quỹ, Quỹ phải báo cáo bằng văn bản với cơ quan có thẩm quyền cấp Giấy phép thành lập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h) Hàng năm, Quỹ phải báo cáo tình hình tổ chức, hoạt động và tài chính với cơ quan cấp Giấy phép thành lập và công nhận Điều lệ Quỹ, cơ quan quản lý nhà nước về tài chính cùng cấp với cơ quan có thẩm quyền cấp Giấy phép thành lập Quỹ, cơ quan quản lý ngành, lĩnh vực hoạt động của Quỹ và báo cáo với Ủy ban nhân dân cấp tỉnh nơi Quỹ đặt trụ sở trước ngày 31 tháng 12;</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i) Thực hiện các quyết định của cơ quan nhà nước có thẩm quyền liên quan đến tổ chức, hoạt động của Quỹ và các nghĩa vụ khác theo quy định của pháp luật và Điều lệ Quỹ.</w:t>
      </w:r>
    </w:p>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b/>
          <w:bCs/>
          <w:color w:val="222222"/>
          <w:sz w:val="20"/>
          <w:szCs w:val="20"/>
        </w:rPr>
        <w:t>Chương III</w:t>
      </w:r>
    </w:p>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b/>
          <w:bCs/>
          <w:color w:val="222222"/>
          <w:sz w:val="20"/>
          <w:szCs w:val="20"/>
        </w:rPr>
        <w:t>TỔ CHỨC, HOẠT ĐỘNG</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7. Cơ cấu tổ chức</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1. Hội đồng quản lý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lastRenderedPageBreak/>
        <w:t>2. Ban Kiểm soát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3. Văn phòng và các phòng, ban chuyên môn.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8. Hội đồng quản lý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1. Hội đồng quản lý Quỹ là cơ quan quản lý của Quỹ, nhân danh Quỹ để quyết định, thực hiện các quyền và nghĩa vụ của Quỹ; các thành viên phải có đủ năng lực hành vi dân sự và không có án tích. Hội đồng quản lý Quỹ có tối thiểu 03 thành viên do Hội Liên hiệp Phụ nữ Việt Nam đề cử, trường hợp không có đề cử của sáng lập viên thành lập Quỹ, Hội đồng quản lý Quỹ nhiệm kỳ trước bầu ra Hội đồng quản lý Quỹ nhiệm kỳ tiếp theo và được Bộ Nội vụ công nhận. Nhiệm kỳ Hội đồng quản lý Quỹ không quá 05 năm. Hội đồng quản lý Quỹ gồm: Chủ tịch, các Phó Chủ tịch và các thành viên.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Hội đồng quản lý Quỹ có nhiệm vụ, quyền hạn sau đây:</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a) Quyết định chiến lược phát triển và kế hoạch hoạt động hàng năm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b) Quyết định các giải pháp phát triển Quỹ; thông qua hợp đồng vay, mua, bán tài sản có giá trị từ 500 triệu đồng Việt Nam trở lên;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c) Bầu, miễn nhiệm, bãi nhiệm Chủ tịch, các Phó Chủ tịch, thành viên Hội đồng quản lý Quỹ để cơ quan nhà nước có thẩm quyền công nhận; quyết định thành lập Ban Kiểm soát Quỹ; quyết định bổ nhiệm, miễn nhiệm, cách chức Giám đốc Quỹ hoặc ký và chấm dứt hợp đồng đối với Giám đốc Quỹ trong trường hợp Giám đốc Quỹ là người do Quỹ thuê; quyết định người phụ trách công tác kế toán và người quản lý khác quy định tại Điều lệ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d) Quyết định mức lương, thưởng và chế độ, chính sách khác (nếu có) đối với Chủ tịch, Phó Chủ tịch, thành viên Hội đồng quản lý Quỹ, Giám đốc, người phụ trách kế toán Quỹ và người làm việc tại Quỹ theo quy định tại Điều lệ Quỹ và theo quy định của pháp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đ) Thông qua báo cáo tài chính hàng năm, phương án sử dụng tài sản, tài chính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e) Quyết định cơ cấu tổ chức quản lý Quỹ theo quy định của pháp luật và Điều lệ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g) Quyết định thành lập pháp nhân trực thuộc Quỹ theo quy định của pháp luật; thành lập chi nhánh, văn phòng đại diện Quỹ theo quy định tại Điều 32 Nghị định số </w:t>
      </w:r>
      <w:r w:rsidRPr="00E02A4E">
        <w:rPr>
          <w:rFonts w:ascii="Arial" w:eastAsia="Times New Roman" w:hAnsi="Arial" w:cs="Arial"/>
          <w:color w:val="A67C52"/>
          <w:sz w:val="20"/>
          <w:szCs w:val="20"/>
        </w:rPr>
        <w:t>93/2019/NĐ-CP</w:t>
      </w:r>
      <w:r w:rsidRPr="00E02A4E">
        <w:rPr>
          <w:rFonts w:ascii="Arial" w:eastAsia="Times New Roman" w:hAnsi="Arial" w:cs="Arial"/>
          <w:color w:val="222222"/>
          <w:sz w:val="20"/>
          <w:szCs w:val="20"/>
        </w:rPr>
        <w:t> ;</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h) Đổi tên; sửa đổi, bổ sung Điều lệ để cơ quan nhà nước có thẩm quyền công nhận;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i) Quyết định giải thể hoặc đề xuất những thay đổi về Giấy phép thành lập và công nhận Điều lệ Quỹ với cơ quan nhà nước có thẩm quyền;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k) Trong thời hạn 60 ngày kể từ ngày có Quyết định công nhận Quỹ đủ điều kiện hoạt động và công nhận Hội đồng quản lý Quỹ, Hội đồng quản lý Quỹ có trách nhiệm xây dựng, ban hành: quy định về quản lý và sử dụng tài sản, tài chính, các định mức chi tiêu của Quỹ; quy định công tác khen thưởng, kỷ luật và giải quyết phản ánh, kiến nghị, khiếu nại, tố cáo trong nội bộ Quỹ; quy định về thời gian làm việc, việc sử dụng lao động và sử dụng con dấu của Quỹ; quy định cụ thể việc bầu, miễn nhiệm, bãi nhiệm Chủ tịch, các Phó Chủ tịch, thành viên Hội đồng quản lý; quy định cụ thể việc bổ nhiệm, miễn nhiệm, cách chức Giám đốc hoặc chấm dứt hợp đồng lao động đối với Giám đốc Quỹ và Quy chế làm việc của Hội đồng quản lý Quỹ, Ban Kiểm soát Quỹ; các quy định trong nội bộ Quỹ phù hợp với quy định của Điều lệ Quỹ và quy định của pháp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lastRenderedPageBreak/>
        <w:t>l) Các nhiệm vụ và quyền hạn khác theo quy định của Nghị định số 93/2019/NĐ- CP và Điều lệ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3. Nguyên tắc hoạt động của Hội đồng quản lý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a) Cuộc họp của Hội đồng quản lý Quỹ do Chủ tịch Hội đồng quản lý Quỹ triệu tập và chủ trì. Hội đồng quản lý Quỹ họp định kỳ mỗi năm một lần, có thể họp bất thường theo yêu cầu của trên 2/3 số thành viên Hội đồng quản lý Quỹ. Cuộc họp của Hội đồng quản lý Quỹ là hợp lệ khi có 2/3 số thành viên Hội đồng quản lý Quỹ tham gia;</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b) Mỗi thành viên Hội đồng quản lý Quỹ có một phiếu biểu quyết. Trong trường hợp số thành viên có mặt tại cuộc họp không đầy đủ, người chủ trì cuộc họp Hội đồng quản lý Quỹ xin ý kiến bằng văn bản; ý kiến bằng văn bản của thành viên vắng mặt có giá trị như ý kiến của thành viên có mặt tại cuộc họp;</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c) Các quyết định của Hội đồng quản lý Quỹ được thông qua khi có từ 2/3 số thành viên Hội đồng quản lý Quỹ biểu quyết tán thành.</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9. Chủ tịch Hội đồng quản lý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1. Chủ tịch Hội đồng quản lý Quỹ là công dân Việt Nam được Hội đồng quản lý Quỹ bầu và là người đại diện theo pháp luật của Quỹ. Chủ tịch Hội đồng quản lý Quỹ có thể kiêm Giám đốc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Chủ tịch Hội đồng quản lý Quỹ có các nhiệm vụ và quyền hạn sau đây:</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a) Chuẩn bị hoặc tổ chức việc chuẩn bị chương trình, kế hoạch hoạt động củ Hội đồng quản lý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b) Chuẩn bị hoặc tổ chức việc chuẩn bị chương trình, nội dung, tài liệu họp Hội đồng quản lý Quỹ hoặc để lấy ý kiến các thành viên Hội đồng quản lý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c) Triệu tập và chủ trì cuộc họp Hội đồng quản lý Quỹ hoặc tổ chức việc lấy ý kiến các thành viên Hội đồng quản lý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d) Giám sát hoặc tổ chức giám sát việc thực hiện các quyết định của Hội đồng quản lý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đ) Thay mặt Hội đồng quản lý Quỹ ký các quyết định của Hội đồng quản lý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e) Các quyền và nhiệm vụ khác theo quy định của Nghị định số </w:t>
      </w:r>
      <w:r w:rsidRPr="00E02A4E">
        <w:rPr>
          <w:rFonts w:ascii="Arial" w:eastAsia="Times New Roman" w:hAnsi="Arial" w:cs="Arial"/>
          <w:color w:val="A67C52"/>
          <w:sz w:val="20"/>
          <w:szCs w:val="20"/>
        </w:rPr>
        <w:t>93/2019/NĐ-CP</w:t>
      </w:r>
      <w:r w:rsidRPr="00E02A4E">
        <w:rPr>
          <w:rFonts w:ascii="Arial" w:eastAsia="Times New Roman" w:hAnsi="Arial" w:cs="Arial"/>
          <w:color w:val="222222"/>
          <w:sz w:val="20"/>
          <w:szCs w:val="20"/>
        </w:rPr>
        <w:t> và Điều lệ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3. Nhiệm kỳ của Chủ tịch Hội đồng quản lý Quỹ không quá 05 năm. Chủ tịch Hội đồng quản lý Quỹ có thể được bầu lại với số nhiệm kỳ không hạn chế.</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4. Trường hợp Chủ tịch Hội đồng quản lý Quỹ kiêm Giám đốc Quỹ thì phải ghi rõ trong các giấy tờ giao dịch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5. Trường hợp vắng mặt thì Chủ tịch Hội đồng quản lý Quỹ ủy quyền bằng văn bản cho Phó Chủ tịch Hội đồng quản lý Quỹ thực hiện các quyền và nhiệm vụ của Chủ tịch Hội đồng quản lý Quỹ theo nguyên tắc quy định tại Điều lệ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10. Phó Chủ tịch Hội đồng quản lý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lastRenderedPageBreak/>
        <w:t>1. Phó Chủ tịch Hội đồng quản lý Quỹ do Hội đồng quản lý Quỹ bầu và có nhiệm kỳ cùng với nhiệm kỳ của Hội đồng quản lý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Phó Chủ tịch Hội đồng quản lý Quỹ có nhiệm vụ giúp Chủ tịch Hội đồng quản lý Quỹ điều hành các hoạt động của Quỹ theo sự phân công của Hội đồng quản lý Quỹ và thực hiện nhiệm vụ theo sự ủy quyền của Chủ tịch Hội đồng quản lý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11. Giám đốc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1. Giám đốc Quỹ do Hội đồng quản lý Quỹ bổ nhiệm trong số thành viên Hội đồng hoặc thuê người khác làm Giám đốc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Giám đốc Quỹ là người điều hành công việc hàng ngày của Quỹ, chịu sự giám sát của Hội đồng quản lý Quỹ, chịu trách nhiệm trước Hội đồng quản lý Quỹ và trước pháp luật về việc thực hiện các quyền và nhiệm vụ được giao. Nhiệm kỳ của Giám đốc Quỹ không quá 05 năm, có thể được bổ nhiệm lại.</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3. Giám đốc Quỹ có các nhiệm vụ và quyền hạn sau đây:</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a) Điều hành và quản lý các hoạt động của Quỹ, chấp hành các định mức chi tiêu của Quỹ theo đúng nghị quyết của Hội đồng quản lý, Điều lệ Quỹ và các quy định của pháp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b) Ban hành các văn bản thuộc trách nhiệm điều hành của Giám đốc và chịu trách nhiệm về các quyết định của mình;</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c) Báo cáo định kỳ về tình hình hoạt động của Quỹ với Hội đồng quản lý Quỹ và cơ quan có thẩm quyền;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d) Chịu trách nhiệm quản lý tài sản của Quỹ theo Điều lệ Quỹ và các quy định của pháp luật về quản lý tài chính, tài sản;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đ) Đề nghị Chủ tịch Hội đồng quản lý Quỹ bổ nhiệm Phó Giám đốc và lãnh đạo các đơn vị trực thuộc;</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e) Các nhiệm vụ, quyền hạn khác theo quy định của Điều lệ Quỹ và quyết định của Hội đồng quản lý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12. Phụ trách kế toán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1. Người phụ trách kế toán Quỹ do Hội đồng quản lý Quỹ bổ nhiệm hoặc bổ nhiệm theo đề nghị của Giám đốc Quỹ và thực hiện tiêu chuẩn, điều kiện bổ nhiệm, bãi miễn, thay thế phụ trách kế toán theo quy định của pháp luật về kế toán.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Người được giao phụ trách kế toán của Quỹ có trách nhiệm giúp Giám đốc Quỹ tổ chức, thực hiện công tác kế toán, thống kê của Quỹ theo quy định của pháp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3. Không bổ nhiệm người phụ trách kế toán thuộc trường hợp những người không được làm kế toán theo quy định của pháp luật về kế toán.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4. Người phụ trách kế toán chịu trách nhiệm quyết toán khi thực hiện sáp nhập, hợp nhất, chia, tách, giải thể Quỹ hoặc chuyển công tác khác.</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13. Ban Kiểm soát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lastRenderedPageBreak/>
        <w:t>1. Ban Kiểm soát Quỹ do Chủ tịch Hội đồng quản lý Quỹ quyết định thành lập theo Nghị quyết của Hội đồng quản lý Quỹ. Ban Kiểm soát Quỹ có ít nhất 03 thành viên, gồm: Trưởng ban, 01 Phó Trưởng ban và ủy viên. Thành viên Ban Kiểm soát Quỹ là công dân Việt Nam, được bầu với số phiếu tín nhiệm trên 1/2 tổng số thành viên Hội đồng quản lý Quỹ. Nhiệm kỳ của Ban Kiểm soát Quỹ cùng với nhiệm kỳ của Hội đồng quản lý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Ban Kiểm soát Quỹ hoạt động độc lập và có nhiệm vụ sau:</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a) Kiểm tra, giám sát hoạt động của Quỹ theo Điều lệ Quỹ và các quy định của pháp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b) Giải quyết đơn, thư phản ánh, kiến nghị, khiếu nại, tố cáo của tổ chức, công dân gửi đến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c) Báo cáo, kiến nghị với Hội đồng quản lý Quỹ về kết quả kiểm tra, giám sát và tình hình tài chính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14. Văn phòng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Văn phòng Quỹ được thành lập theo quyết định của Hội đồng quản lý Quỹ, là bộ phận thường trực giúp việc cho Chủ tịch, các Phó Chủ tịch và Hội đồng quản lý Quỹ trong điều hành, quản lý hoạt động của Quỹ.</w:t>
      </w:r>
    </w:p>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color w:val="222222"/>
          <w:sz w:val="26"/>
          <w:szCs w:val="26"/>
        </w:rPr>
        <w:t> </w:t>
      </w:r>
    </w:p>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b/>
          <w:bCs/>
          <w:color w:val="222222"/>
          <w:sz w:val="20"/>
          <w:szCs w:val="20"/>
        </w:rPr>
        <w:t>Chương IV</w:t>
      </w:r>
    </w:p>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b/>
          <w:bCs/>
          <w:color w:val="222222"/>
          <w:sz w:val="20"/>
          <w:szCs w:val="20"/>
        </w:rPr>
        <w:t>VẬN ĐỘNG QUYÊN GÓP, TIẾP NHẬN TÀI TRỢ, ĐỐI TƯỢNG VÀ ĐIỀU KIỆN HỖ TRỢ</w:t>
      </w:r>
    </w:p>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color w:val="222222"/>
          <w:sz w:val="26"/>
          <w:szCs w:val="26"/>
        </w:rPr>
        <w:t> </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15. Vận động quyên góp, tiếp nhận tài trợ</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1. Quỹ được vận động quyên góp, vận động tài trợ trong nước và nước ngoài nhằm thực hiện mục đích hoạt động theo quy định của Điều lệ Quỹ và theo quy định của pháp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Các khoản vận động quyên góp, tài trợ của các cá nhân, tổ chức trong và ngoài nước cho Quỹ phải được nộp ngay vào Quỹ theo đúng quy định hiện hành của Nhà nước, đồng thời công khai thông tin qua trang thông tin điện tử của tổ chức (nếu có) để công chúng và các nhà tài trợ có điều kiện kiểm tra, giám sát. Đối với khoản tài trợ có mục đích, mục tiêu phải thực hiện đúng theo yêu cầu của nhà tài trợ.</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16. Nguyên tắc vận động quyên góp, tiếp nhận tài trợ</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1. Việc vận động tài trợ, vận động quyên góp tiền, hiện vật, công sức của cá nhân, tổ chức phải trên cơ sở tự nguyện với lòng hảo tâm, Quỹ không tự đặt ra mức huy động đóng góp tối thiểu để buộc cá nhân, tổ chức thực hiện.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Việc quyên góp, tiếp nhận, quản lý, sử dụng tiền, hiện vật từ cá nhân, tổ chức đóng góp cho Quỹ phải công khai, minh bạch, phải được thực hiện và chịu sự thanh tra, kiểm tra, giám sát theo quy định của pháp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3. Nội dung vận động quyên góp, tiếp nhận tài trợ phải công khai, minh bạch, bao gồm: mục đích vận động quyên góp, tài trợ; kết quả vận động quyên góp, tài trợ; việc sử dụng, kết quả sử dụng và báo cáo quyết toán.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lastRenderedPageBreak/>
        <w:t>4. Hình thức công khai bao gồm:</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a) Niêm yết công khai tại nơi tiếp nhận quyên góp, tài trợ và nơi nhận cứu trợ, trợ giúp;</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b) Thông báo trên phương tiện thông tin đại chúng;</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c) Cung cấp thông tin theo yêu cầu của cơ quan, tổ chức, cá nhân theo quy định của pháp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17. Đối tượng, điều kiện nhận hỗ trợ, tài trợ</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1. Đối tượng tài trợ, hỗ trợ:</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a) Đối với cá nhân phụ nữ Việt Nam:</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 Có thành tích đặc biệt xuất sắc trong công tác, mang lại hiệu quả kinh tế - xã hội, lợi ích cho đơn vị, cộng đồng, đóng góp vào công cuộc xây dựng và bảo vệ Tổ quốc;</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 Tích cực tham gia các hoạt động vì sự phát triển của phụ nữ, bình đẳng giới, các hoạt động phong trào phụ nữ của đơn vị, ngành, địa phương hoặc cả nước;</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 Có tinh thần đoàn kết, giúp đỡ nhau cùng tiến bộ, có mối quan hệ tốt với đồng nghiệp, xã hội, cộng đồng và gia đình, được mọi người tin yêu;</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 Gương mẫu chấp hành tốt chủ trương, đường lối của Đảng; luật pháp, chính sách của Nhà nước và quy định của cơ quan, đơn vị. Gia đình được công nhận là gia đình văn hóa.</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b) Đối với tập thể phụ nữ Việt Nam:</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 Có thành tích đặc biệt xuất sắc, mang lại hiệu quả kinh tế - xã hội, lợi ích cho đơn vị, cộng đồng, đóng góp vào công cuộc xây dựng và bảo vệ Tổ quốc;</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 Tích cực tham gia các hoạt động phong trào phụ nữ, bình đẳng giới của đơn vị, ngành, địa phương hoặc cả nước; có nhiều sáng kiến, đổi mới về nội dung, phương thức hoạt động trong tập hợp, thu hút các tầng lớp phụ nữ tham gia hoạt động của phong trào đơn vị phù hợp với điều kiện của địa phương;</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 Gương mẫu chấp hành tốt chủ trương, đường lối của Đảng; luật pháp, chính sách của Nhà nước;</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 Tập thể đoàn kết, mọi thành viên luôn giúp đỡ, gắn bó, tạo điều kiện cho nhau cùng tiến bộ. Luôn phối hợp chặt chẽ với các cấp chính quyền, ban ngành, đoàn thể liên quan để thực hiện có hiệu quả nhiệm vụ phát triển kinh tế- xã hội của đơn vị, ngành, địa phương;</w:t>
      </w:r>
      <w:bookmarkStart w:id="0" w:name="_GoBack"/>
      <w:bookmarkEnd w:id="0"/>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 Có tỷ lệ cán bộ, công chức, viên chức, người lao động là nữ từ 60% trở lên (đối với một số ngành mang tính chất đặc thù phải có tỷ lệ cán bộ, công chức, viên chức, người lao động là nữ đạt 40% trở lên) trong đó có lãnh đạo hoặc các chủ nhiệm đề tài, dự án khoa học công nghệ là nữ, có thành tích xuất sắc và có nhiều đóng góp cho thành tích chung của đơn vị.</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Điều kiện nhận hỗ trợ, tài trợ: Hội đồng quản lý Quỹ quy định cụ thể trình tự, thủ tục, thẩm quyền, thời gian, điều kiện xét nhận tài trợ, hỗ trợ của Quỹ phù hợp với quy định của pháp luật, Điều lệ Quỹ và Quy chế hoạt động nội bộ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lastRenderedPageBreak/>
        <w:t>3. Căn cứ vào điều kiện, tình hình cụ thể và khả năng tài chính của Quỹ, số lượng và mức tài trợ, hỗ trợ hàng năm của Quỹ có thể được điều chỉnh trên cơ sở cân đối thu, chi của từng năm, phù hợp với từng thời kỳ và theo quyết định của Hội đồng quản lý Quỹ.</w:t>
      </w:r>
    </w:p>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b/>
          <w:bCs/>
          <w:color w:val="222222"/>
          <w:sz w:val="20"/>
          <w:szCs w:val="20"/>
        </w:rPr>
        <w:t>Chương V</w:t>
      </w:r>
    </w:p>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b/>
          <w:bCs/>
          <w:color w:val="222222"/>
          <w:sz w:val="20"/>
          <w:szCs w:val="20"/>
        </w:rPr>
        <w:t>QUẢN LÝ VÀ SỬ DỤNG TÀI SẢN, TÀI CHÍNH</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18. Nguồn thu</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1. Thu từ đóng góp tự nguyện, tài trợ hợp pháp của tổ chức, cá nhân trong nước và ngoài nước phù hợp với quy định của pháp luật. Nguồn thu của Quỹ không bao gồm nguồn tài sản của các sáng lập viên theo quy định tại khoản 1 Điều 14 Nghị định số </w:t>
      </w:r>
      <w:r w:rsidRPr="00E02A4E">
        <w:rPr>
          <w:rFonts w:ascii="Arial" w:eastAsia="Times New Roman" w:hAnsi="Arial" w:cs="Arial"/>
          <w:color w:val="A67C52"/>
          <w:sz w:val="20"/>
          <w:szCs w:val="20"/>
        </w:rPr>
        <w:t>93/2019/NĐ-CP</w:t>
      </w:r>
      <w:r w:rsidRPr="00E02A4E">
        <w:rPr>
          <w:rFonts w:ascii="Arial" w:eastAsia="Times New Roman" w:hAnsi="Arial" w:cs="Arial"/>
          <w:color w:val="222222"/>
          <w:sz w:val="20"/>
          <w:szCs w:val="20"/>
        </w:rPr>
        <w:t> .</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Thu từ hoạt động cung cấp dịch vụ hoặc các hoạt động khác theo quy định của pháp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3. Kinh phí do ngân sách nhà nước hỗ trợ (nếu có), bao gồm:</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a) Thực hiện các nhiệm vụ do cơ quan nhà nước giao;</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b) Thực hiện các dịch vụ công, đề tài nghiên cứu khoa học, các chương trình mục tiêu, đề án do Nhà nước đặt hàng.</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4. Thu từ lãi tiền gửi, lãi trái phiếu Chính phủ.</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5. Các khoản thu hợp pháp khác (nếu có).</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19. Sử dụng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1. Nguyên tắc chi: tiết kiệm, hiệu quả theo đúng tôn chỉ, mục đích, nhiệm vụ và đối tượng của Quỹ, phù hợp với quy định của pháp luật và Điều lệ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Chi cho các hoạt động để thực hiện chức năng, nhiệm vụ và quyền hạn của Quỹ theo quy định tại Điều 5, Điều 6 Điều lệ này.</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3. Chi tài trợ, hỗ trợ cho các đối tượng được quy định tại Điều 17 Điều lệ này phù hợp với tôn chỉ, mục đích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4. Chi thực hiện các dịch vụ công, đề tài nghiên cứu khoa học, các chương trình mục tiêu, đề án do Nhà nước đặt hàng hoặc các nhiệm vụ khác do cơ quan nhà nước giao (nếu có).</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5. Chi cho hoạt động quản lý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6. Mua trái phiếu Chính phủ, gửi tiết kiệm đối với tiền nhàn rỗi của Quỹ (không bao gồm kinh phí ngân sách nhà nước cấp, nếu có).</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7. Việc tiếp nhận, sử dụng viện trợ từ tổ chức phi chính phủ nước ngoài thực hiện theo quy định của pháp luật về quản lý và sử dụng viện trợ phi chính phủ nước ngoài và các văn bản có liên quan.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8. Chi thực hiện hoạt động cung cấp dịch vụ hoặc các hoạt động khác theo quy định của pháp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20. Nội dung chi cho hoạt động quản lý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lastRenderedPageBreak/>
        <w:t>1. Nội dung chi hoạt động quản lý Quỹ bao gồm:</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a) Chi tiền lương và các khoản phụ cấp cho bộ máy quản lý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b) Chi bảo hiểm xã hội, bảo hiểm thất nghiệp, bảo hiểm y tế và các khoản đóng góp theo quy định;</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c) Chi thuê trụ sở làm việc (nếu có);</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d) Chi mua sắm, sửa chữa vật tư văn phòng, tài sản phục vụ hoạt động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đ) Chi thanh toán dịch vụ công cộng phục vụ hoạt động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e) Chi các khoản công tác phí phát sinh đi làm các nhiệm vụ vận động, tiếp nhận, vận chuyển, phân phối tiền, hàng cứu trợ;</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g) Chi cho các hoạt động liên quan đến việc thực hiện các nhiệm vụ chung trong quá trình vận động, tiếp nhận, vận chuyển, phân phối tiền, hàng cứu trợ (tiền thuê kho, bến bãi; chi phí đóng thùng, vận chuyển hàng hóa; chi phí chuyển tiền; chi phí liên quan đến phân bổ tiền, hàng cứu trợ);</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h) Các khoản chi khác có liên quan đến hoạt động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Định mức chi hoạt động quản lý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a) Hội đồng quản lý Quỹ quy định cụ thể tỷ lệ chi cho hoạt động quản lý Quỹ, không quá 5% tổng thu hàng năm của Quỹ (không bao gồm các khoản: Tài trợ bằng hiện vật, tài trợ của Nhà nước để thực hiện các dịch vụ công, đề tài nghiên cứu khoa học, các chương trình mục tiêu, đề án do Nhà nước đặt hàng và các khoản tài trợ có số tiền, địa chỉ của người nhận);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b) Trường hợp nhu cầu chi thực tế cho hoạt động quản lý Quỹ vượt quá 5% tổng thu hàng năm của Quỹ thì Hội đồng quản lý Quỹ quy định mức chi nhưng tối đa không vượt quá 10% tổng thu hàng năm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c) Trường hợp chi phí quản lý của Quỹ đến cuối năm không sử dụng hết được chuyển sang năm sau tiếp tục sử dụng theo quy định.</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21. Quản lý tài chính, tài sản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1. Hội đồng quản lý Quỹ ban hành các quy định về quản lý và sử dụng tài sản, tài chính, các định mức chi tiêu của Quỹ; phê duyệt tỷ lệ chi cho hoạt động quản lý Quỹ, chuẩn y kế hoạch tài chính và xét duyệt quyết toán tài chính hàng năm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Ban Kiểm soát Quỹ có trách nhiệm kiểm tra, giám sát hoạt động của Quỹ và báo cáo, kiến nghị với Hội đồng quản lý Quỹ về tình hình tài sản, tài chính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3. Giám đốc Quỹ chấp hành các quy định về quản lý và sử dụng tài sản, tài chính, nguồn thu, các định mức chi tiêu của Quỹ theo đúng nghị quyết của Hội đồng quản lý Quỹ trên cơ sở nhiệm vụ hoạt động đã được Hội đồng quản lý Quỹ thông qua; không được sử dụng tài sản, tài chính Quỹ vào các hoạt động khác ngoài mục đích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4. Hội đồng quản lý Quỹ và Giám đốc Quỹ có trách nhiệm công khai tình hình tài sản, tài chính Quỹ hàng quý, năm theo các nội dung sau:</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lastRenderedPageBreak/>
        <w:t>a) Danh sách, số tiền, hiện vật đóng góp, tài trợ, ủng hộ của các tổ chức, cá nhân cho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b) Danh sách, số tiền, hiện vật tổ chức, cá nhân được nhận từ Quỹ; công khai kết quả sử dụng và quyết toán thu, chi từng khoản đóng góp;</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c) Báo cáo tình hình tài sản, tài chính và quyết toán quý, năm của Quỹ theo từng nội dung thu, chi theo Luật kế toán và các văn bản hướng dẫn thực hiện.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5. Đối với các khoản chi theo từng đợt vận động, việc báo cáo được thực hiện theo quy định hiện hành về vận động, tiếp nhận, phân phối và sử dụng các nguồn đóng góp tự nguyện hỗ trợ nhân dân khắc phục khó khăn do thiên tai, hỏa hoạn, các bệnh nhân mắc bệnh hiểm nghèo.</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6. Quỹ phải thực hiện công khai báo cáo tài chính, báo cáo quyết toán Quỹ và kết luận của kiểm toán (nếu có) trên phương tiện thông tin đại chúng hàng năm theo quy định hiện hành.</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22. Xử lý tài sản của Quỹ khi hợp nhất, sáp nhập, chia, tách, đình chỉ có thời hạn hoạt động và giải thể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1. Trường hợp Quỹ được cơ quan nhà nước có thẩm quyền cho phép sáp nhập, hợp nhất, chia, tách thì toàn bộ tiền và tài sản của Quỹ phải được tiến hành kiểm kê và có biên bản kiểm kê trước khi sáp nhập, hợp nhất, chia, tách; tuyệt đối không được phân chia tài sản của Quỹ. Tiền và tài sản của Quỹ mới được sáp nhập, hợp nhất, chia, tách phải bằng tổng số tiền và tài sản của Quỹ trước khi sáp nhập, hợp nhất, chia, tách theo biên bản kiểm kê tiền và tài sản. Tổng số tiền và tài sản của các Quỹ mới được chia, tách phải bằng với số tiền và tài sản của Quỹ trước khi chia, tách theo biên bản kiểm kê tiền và tài sản.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Trường hợp Quỹ bị đình chỉ hoạt động có thời hạn thì toàn bộ tiền và tài sản của Quỹ phải được kiểm kê và giữ nguyên hiện trạng tài sản. Trong thời gian bị đình chỉ có thời hạn hoạt động, Quỹ chỉ được chi các khoản có tính chất thường xuyên cho bộ máy hoạt động đến khi có quyết định của cơ quan nhà nước có thẩm quyền.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3. Trường hợp Quỹ bị giải thể, không được phân chia tài sản của Quỹ. Việc bán, thanh lý tài sản của Quỹ thực hiện theo quy định của pháp luật có liên quan.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4. Toàn bộ số tiền hiện có của Quỹ và tiền thu được do bán, thanh lý tài sản của Quỹ khi Quỹ giải thể được thanh toán theo thứ tự sau:</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a) Chi phí giải thể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b) Các khoản nợ lương, trợ cấp thôi việc, bảo hiểm xã hội, bảo hiểm y tế đối với người lao động theo quy định của pháp luật và các quyền lợi khác của người lao động theo thỏa ước lao động tập thể và hợp đồng lao động đã ký kết;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c) Nợ thuế và các khoản phải trả khác.</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5. Đối với tài sản, tài chính tự có của Quỹ và tài sản, tài chính của tổ chức trong và ngoài nước tài trợ còn lại của Quỹ do cơ quan thuộc cấp nào cho phép thành lập thì được nộp vào ngân sách cấp đó. Đối với tài sản do ngân sách nhà nước cấp hoặc có nguồn gốc từ ngân sách nhà nước (nếu có) Quỹ thực hiện chuyển giao cho Nhà nước để thực hiện xử lý theo quy định của pháp luật về quản lý sử dụng tài sản công.</w:t>
      </w:r>
    </w:p>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b/>
          <w:bCs/>
          <w:color w:val="222222"/>
          <w:sz w:val="20"/>
          <w:szCs w:val="20"/>
        </w:rPr>
        <w:t>Chương VI</w:t>
      </w:r>
    </w:p>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b/>
          <w:bCs/>
          <w:color w:val="222222"/>
          <w:sz w:val="20"/>
          <w:szCs w:val="20"/>
        </w:rPr>
        <w:t>HỢP NHẤT, SÁP NHẬP, CHIA, TÁCH, ĐỔI TÊN; ĐÌNH CHỈ CÓ THỜI HẠN HOẠT ĐỘNG VÀ GIẢI THỂ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lastRenderedPageBreak/>
        <w:t>Điều 23. Hợp nhất, sáp nhập, chia, tách, đổi tên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1. Việc hợp nhất, sáp nhập, chia, tách, đổi tên Quỹ thực hiện theo quy định của Bộ luật dân sự, Điều 39 Nghị định số </w:t>
      </w:r>
      <w:r w:rsidRPr="00E02A4E">
        <w:rPr>
          <w:rFonts w:ascii="Arial" w:eastAsia="Times New Roman" w:hAnsi="Arial" w:cs="Arial"/>
          <w:color w:val="A67C52"/>
          <w:sz w:val="20"/>
          <w:szCs w:val="20"/>
        </w:rPr>
        <w:t>93/2019/NĐ-CP</w:t>
      </w:r>
      <w:r w:rsidRPr="00E02A4E">
        <w:rPr>
          <w:rFonts w:ascii="Arial" w:eastAsia="Times New Roman" w:hAnsi="Arial" w:cs="Arial"/>
          <w:color w:val="222222"/>
          <w:sz w:val="20"/>
          <w:szCs w:val="20"/>
        </w:rPr>
        <w:t> và các quy định pháp luật khác có liên quan.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Hội đồng quản lý Quỹ có trách nhiệm tổ chức thực hiện quyết định hợp nhất, sáp nhập, chia, tách, đổi tên Quỹ theo quy định của pháp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24. Đình chỉ có thời hạn hoạt động của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Việc đình chỉ có thời hạn hoạt động của Quỹ thực hiện theo quy định tại Điều 40 Nghị định số </w:t>
      </w:r>
      <w:r w:rsidRPr="00E02A4E">
        <w:rPr>
          <w:rFonts w:ascii="Arial" w:eastAsia="Times New Roman" w:hAnsi="Arial" w:cs="Arial"/>
          <w:color w:val="A67C52"/>
          <w:sz w:val="20"/>
          <w:szCs w:val="20"/>
        </w:rPr>
        <w:t>93/2019/NĐ-CP</w:t>
      </w:r>
      <w:r w:rsidRPr="00E02A4E">
        <w:rPr>
          <w:rFonts w:ascii="Arial" w:eastAsia="Times New Roman" w:hAnsi="Arial" w:cs="Arial"/>
          <w:color w:val="222222"/>
          <w:sz w:val="20"/>
          <w:szCs w:val="20"/>
        </w:rPr>
        <w: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25. Giải thể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1.Việc giải thể Quỹ thực hiện theo quy định tại Điều 41 Nghị định số </w:t>
      </w:r>
      <w:r w:rsidRPr="00E02A4E">
        <w:rPr>
          <w:rFonts w:ascii="Arial" w:eastAsia="Times New Roman" w:hAnsi="Arial" w:cs="Arial"/>
          <w:color w:val="A67C52"/>
          <w:sz w:val="20"/>
          <w:szCs w:val="20"/>
        </w:rPr>
        <w:t>93/2019/NĐ-CP</w:t>
      </w:r>
      <w:r w:rsidRPr="00E02A4E">
        <w:rPr>
          <w:rFonts w:ascii="Arial" w:eastAsia="Times New Roman" w:hAnsi="Arial" w:cs="Arial"/>
          <w:color w:val="222222"/>
          <w:sz w:val="20"/>
          <w:szCs w:val="20"/>
        </w:rPr>
        <w:t> .</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Hội đồng quản lý Quỹ có trách nhiệm tổ chức thực hiện quyết định giải thể Quỹ theo quy định của pháp luật.</w:t>
      </w:r>
    </w:p>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b/>
          <w:bCs/>
          <w:color w:val="222222"/>
          <w:sz w:val="20"/>
          <w:szCs w:val="20"/>
        </w:rPr>
        <w:t>Chương VII</w:t>
      </w:r>
    </w:p>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b/>
          <w:bCs/>
          <w:color w:val="222222"/>
          <w:sz w:val="20"/>
          <w:szCs w:val="20"/>
        </w:rPr>
        <w:t>KHEN THƯỞNG VÀ KỶ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26. Khen thưởng</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1. Tổ chức, cá nhân có nhiều đóng góp cho hoạt động của Quỹ sẽ được Hội đồng quản lý Quỹ khen thưởng hoặc được Hội đồng quản lý Quỹ đề nghị cơ quan nhà nước có thẩm quyền khen thưởng theo quy định của pháp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Hội đồng quản lý Quỹ quy định cụ thể hình thức, thủ tục, thẩm quyền, trình tự xét khen thưởng trong nội bộ Quỹ.</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27. Kỷ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1. Tổ chức thuộc Quỹ, những người làm việc tại Quỹ vi phạm quy định của Điều lệ này, tùy theo tính chất, mức độ vi phạm mà bị xử lý kỷ luật hoặc truy cứu trách nhiệm hình sự. Nếu gây thiệt hại vật chất phải bồi thường theo quy định của pháp luật.</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Hội đồng quản lý Quỹ quy định cụ thể hình thức, thủ tục, thẩm quyền trình tự xem xét, quyết định kỷ luật trong nội bộ Quỹ.</w:t>
      </w:r>
    </w:p>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b/>
          <w:bCs/>
          <w:color w:val="222222"/>
          <w:sz w:val="20"/>
          <w:szCs w:val="20"/>
        </w:rPr>
        <w:t>Chương VIII</w:t>
      </w:r>
    </w:p>
    <w:p w:rsidR="00E02A4E" w:rsidRPr="00E02A4E" w:rsidRDefault="00E02A4E" w:rsidP="00E02A4E">
      <w:pPr>
        <w:shd w:val="clear" w:color="auto" w:fill="FFFFFF"/>
        <w:spacing w:before="100" w:beforeAutospacing="1" w:after="100" w:afterAutospacing="1" w:line="240" w:lineRule="auto"/>
        <w:jc w:val="center"/>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KHOẢN THI HÀNH</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28. Sửa đổi, bổ sung Điều lệ</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Việc sửa đổi, bổ sung Điều lệ Quỹ phải được ít nhất 2/3 thành viên Hội đồng quản lý Quỹ thông qua và phải được Bộ Nội vụ quyết định công nhận.</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b/>
          <w:bCs/>
          <w:color w:val="222222"/>
          <w:sz w:val="20"/>
          <w:szCs w:val="20"/>
        </w:rPr>
        <w:t>Điều 29. Hiệu lực thi hành</w:t>
      </w:r>
    </w:p>
    <w:p w:rsidR="00E02A4E" w:rsidRPr="00E02A4E" w:rsidRDefault="00E02A4E" w:rsidP="00E02A4E">
      <w:pPr>
        <w:shd w:val="clear" w:color="auto" w:fill="FFFFFF"/>
        <w:spacing w:before="100" w:beforeAutospacing="1" w:after="120"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lastRenderedPageBreak/>
        <w:t>1. Điều lệ (sửa đổi, bổ sung) Quỹ Giải thưởng tài năng nữ Việt Nam gồm 8 Chương, 29 Điều và có hiệu lực thi hành kể từ ngày được Bộ trưởng Bộ Nội vụ công nhận.</w:t>
      </w:r>
    </w:p>
    <w:p w:rsidR="00E02A4E" w:rsidRPr="00E02A4E" w:rsidRDefault="00E02A4E" w:rsidP="00E02A4E">
      <w:pPr>
        <w:shd w:val="clear" w:color="auto" w:fill="FFFFFF"/>
        <w:spacing w:before="100" w:beforeAutospacing="1" w:line="240" w:lineRule="auto"/>
        <w:ind w:firstLine="720"/>
        <w:jc w:val="both"/>
        <w:rPr>
          <w:rFonts w:ascii="Arial" w:eastAsia="Times New Roman" w:hAnsi="Arial" w:cs="Arial"/>
          <w:color w:val="222222"/>
          <w:sz w:val="26"/>
          <w:szCs w:val="26"/>
        </w:rPr>
      </w:pPr>
      <w:r w:rsidRPr="00E02A4E">
        <w:rPr>
          <w:rFonts w:ascii="Arial" w:eastAsia="Times New Roman" w:hAnsi="Arial" w:cs="Arial"/>
          <w:color w:val="222222"/>
          <w:sz w:val="20"/>
          <w:szCs w:val="20"/>
        </w:rPr>
        <w:t>2. Căn cứ các quy định pháp luật về quỹ xã hội, quỹ từ thiện và Điều lệ Quỹ đã được công nhận, Hội đồng quản lý Quỹ Giải thưởng tài năng nữ Việt Nam có trách nhiệm hướng dẫn và tổ chức thực hiện Điều lệ này./.</w:t>
      </w:r>
    </w:p>
    <w:p w:rsidR="009F4E2C" w:rsidRDefault="009F4E2C"/>
    <w:sectPr w:rsidR="009F4E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A4E"/>
    <w:rsid w:val="009F4E2C"/>
    <w:rsid w:val="00BF4F40"/>
    <w:rsid w:val="00E02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298E0"/>
  <w15:chartTrackingRefBased/>
  <w15:docId w15:val="{AE8D7FF4-DF67-47B9-88CE-33984C953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2A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A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5449309">
      <w:bodyDiv w:val="1"/>
      <w:marLeft w:val="0"/>
      <w:marRight w:val="0"/>
      <w:marTop w:val="0"/>
      <w:marBottom w:val="0"/>
      <w:divBdr>
        <w:top w:val="none" w:sz="0" w:space="0" w:color="auto"/>
        <w:left w:val="none" w:sz="0" w:space="0" w:color="auto"/>
        <w:bottom w:val="none" w:sz="0" w:space="0" w:color="auto"/>
        <w:right w:val="none" w:sz="0" w:space="0" w:color="auto"/>
      </w:divBdr>
      <w:divsChild>
        <w:div w:id="1310862522">
          <w:marLeft w:val="0"/>
          <w:marRight w:val="0"/>
          <w:marTop w:val="0"/>
          <w:marBottom w:val="450"/>
          <w:divBdr>
            <w:top w:val="single" w:sz="6" w:space="0" w:color="DDDDDD"/>
            <w:left w:val="single" w:sz="6" w:space="0" w:color="DDDDDD"/>
            <w:bottom w:val="single" w:sz="6" w:space="0" w:color="DDDDDD"/>
            <w:right w:val="single" w:sz="6" w:space="0" w:color="DDDDDD"/>
          </w:divBdr>
          <w:divsChild>
            <w:div w:id="930742671">
              <w:marLeft w:val="0"/>
              <w:marRight w:val="0"/>
              <w:marTop w:val="0"/>
              <w:marBottom w:val="0"/>
              <w:divBdr>
                <w:top w:val="none" w:sz="0" w:space="0" w:color="auto"/>
                <w:left w:val="none" w:sz="0" w:space="0" w:color="auto"/>
                <w:bottom w:val="none" w:sz="0" w:space="0" w:color="auto"/>
                <w:right w:val="none" w:sz="0" w:space="0" w:color="auto"/>
              </w:divBdr>
              <w:divsChild>
                <w:div w:id="67460180">
                  <w:marLeft w:val="0"/>
                  <w:marRight w:val="0"/>
                  <w:marTop w:val="0"/>
                  <w:marBottom w:val="0"/>
                  <w:divBdr>
                    <w:top w:val="none" w:sz="0" w:space="0" w:color="auto"/>
                    <w:left w:val="none" w:sz="0" w:space="0" w:color="auto"/>
                    <w:bottom w:val="none" w:sz="0" w:space="0" w:color="auto"/>
                    <w:right w:val="none" w:sz="0" w:space="0" w:color="auto"/>
                  </w:divBdr>
                  <w:divsChild>
                    <w:div w:id="1670791219">
                      <w:marLeft w:val="0"/>
                      <w:marRight w:val="0"/>
                      <w:marTop w:val="0"/>
                      <w:marBottom w:val="0"/>
                      <w:divBdr>
                        <w:top w:val="none" w:sz="0" w:space="0" w:color="auto"/>
                        <w:left w:val="none" w:sz="0" w:space="0" w:color="auto"/>
                        <w:bottom w:val="none" w:sz="0" w:space="0" w:color="auto"/>
                        <w:right w:val="none" w:sz="0" w:space="0" w:color="auto"/>
                      </w:divBdr>
                      <w:divsChild>
                        <w:div w:id="241917467">
                          <w:marLeft w:val="0"/>
                          <w:marRight w:val="0"/>
                          <w:marTop w:val="120"/>
                          <w:marBottom w:val="120"/>
                          <w:divBdr>
                            <w:top w:val="none" w:sz="0" w:space="0" w:color="auto"/>
                            <w:left w:val="none" w:sz="0" w:space="0" w:color="auto"/>
                            <w:bottom w:val="none" w:sz="0" w:space="0" w:color="auto"/>
                            <w:right w:val="none" w:sz="0" w:space="0" w:color="auto"/>
                          </w:divBdr>
                          <w:divsChild>
                            <w:div w:id="1700009082">
                              <w:marLeft w:val="0"/>
                              <w:marRight w:val="0"/>
                              <w:marTop w:val="0"/>
                              <w:marBottom w:val="0"/>
                              <w:divBdr>
                                <w:top w:val="none" w:sz="0" w:space="0" w:color="auto"/>
                                <w:left w:val="none" w:sz="0" w:space="0" w:color="auto"/>
                                <w:bottom w:val="none" w:sz="0" w:space="0" w:color="auto"/>
                                <w:right w:val="none" w:sz="0" w:space="0" w:color="auto"/>
                              </w:divBdr>
                            </w:div>
                          </w:divsChild>
                        </w:div>
                        <w:div w:id="1622833726">
                          <w:marLeft w:val="0"/>
                          <w:marRight w:val="0"/>
                          <w:marTop w:val="120"/>
                          <w:marBottom w:val="120"/>
                          <w:divBdr>
                            <w:top w:val="none" w:sz="0" w:space="0" w:color="auto"/>
                            <w:left w:val="none" w:sz="0" w:space="0" w:color="auto"/>
                            <w:bottom w:val="none" w:sz="0" w:space="0" w:color="auto"/>
                            <w:right w:val="none" w:sz="0" w:space="0" w:color="auto"/>
                          </w:divBdr>
                        </w:div>
                        <w:div w:id="1191720234">
                          <w:marLeft w:val="0"/>
                          <w:marRight w:val="0"/>
                          <w:marTop w:val="120"/>
                          <w:marBottom w:val="120"/>
                          <w:divBdr>
                            <w:top w:val="none" w:sz="0" w:space="0" w:color="auto"/>
                            <w:left w:val="none" w:sz="0" w:space="0" w:color="auto"/>
                            <w:bottom w:val="none" w:sz="0" w:space="0" w:color="auto"/>
                            <w:right w:val="none" w:sz="0" w:space="0" w:color="auto"/>
                          </w:divBdr>
                        </w:div>
                        <w:div w:id="630747419">
                          <w:marLeft w:val="0"/>
                          <w:marRight w:val="0"/>
                          <w:marTop w:val="120"/>
                          <w:marBottom w:val="120"/>
                          <w:divBdr>
                            <w:top w:val="none" w:sz="0" w:space="0" w:color="auto"/>
                            <w:left w:val="none" w:sz="0" w:space="0" w:color="auto"/>
                            <w:bottom w:val="none" w:sz="0" w:space="0" w:color="auto"/>
                            <w:right w:val="none" w:sz="0" w:space="0" w:color="auto"/>
                          </w:divBdr>
                        </w:div>
                        <w:div w:id="939214690">
                          <w:marLeft w:val="0"/>
                          <w:marRight w:val="0"/>
                          <w:marTop w:val="120"/>
                          <w:marBottom w:val="120"/>
                          <w:divBdr>
                            <w:top w:val="none" w:sz="0" w:space="0" w:color="auto"/>
                            <w:left w:val="none" w:sz="0" w:space="0" w:color="auto"/>
                            <w:bottom w:val="none" w:sz="0" w:space="0" w:color="auto"/>
                            <w:right w:val="none" w:sz="0" w:space="0" w:color="auto"/>
                          </w:divBdr>
                        </w:div>
                        <w:div w:id="142086829">
                          <w:marLeft w:val="0"/>
                          <w:marRight w:val="0"/>
                          <w:marTop w:val="120"/>
                          <w:marBottom w:val="120"/>
                          <w:divBdr>
                            <w:top w:val="none" w:sz="0" w:space="0" w:color="auto"/>
                            <w:left w:val="none" w:sz="0" w:space="0" w:color="auto"/>
                            <w:bottom w:val="none" w:sz="0" w:space="0" w:color="auto"/>
                            <w:right w:val="none" w:sz="0" w:space="0" w:color="auto"/>
                          </w:divBdr>
                        </w:div>
                        <w:div w:id="24135780">
                          <w:marLeft w:val="0"/>
                          <w:marRight w:val="0"/>
                          <w:marTop w:val="120"/>
                          <w:marBottom w:val="120"/>
                          <w:divBdr>
                            <w:top w:val="none" w:sz="0" w:space="0" w:color="auto"/>
                            <w:left w:val="none" w:sz="0" w:space="0" w:color="auto"/>
                            <w:bottom w:val="none" w:sz="0" w:space="0" w:color="auto"/>
                            <w:right w:val="none" w:sz="0" w:space="0" w:color="auto"/>
                          </w:divBdr>
                        </w:div>
                        <w:div w:id="1443646961">
                          <w:marLeft w:val="0"/>
                          <w:marRight w:val="0"/>
                          <w:marTop w:val="120"/>
                          <w:marBottom w:val="120"/>
                          <w:divBdr>
                            <w:top w:val="none" w:sz="0" w:space="0" w:color="auto"/>
                            <w:left w:val="none" w:sz="0" w:space="0" w:color="auto"/>
                            <w:bottom w:val="none" w:sz="0" w:space="0" w:color="auto"/>
                            <w:right w:val="none" w:sz="0" w:space="0" w:color="auto"/>
                          </w:divBdr>
                          <w:divsChild>
                            <w:div w:id="781195395">
                              <w:marLeft w:val="0"/>
                              <w:marRight w:val="0"/>
                              <w:marTop w:val="0"/>
                              <w:marBottom w:val="0"/>
                              <w:divBdr>
                                <w:top w:val="none" w:sz="0" w:space="0" w:color="auto"/>
                                <w:left w:val="none" w:sz="0" w:space="0" w:color="auto"/>
                                <w:bottom w:val="none" w:sz="0" w:space="0" w:color="auto"/>
                                <w:right w:val="none" w:sz="0" w:space="0" w:color="auto"/>
                              </w:divBdr>
                            </w:div>
                          </w:divsChild>
                        </w:div>
                        <w:div w:id="613102688">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14</Pages>
  <Words>4476</Words>
  <Characters>25516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LAPTOP68</dc:creator>
  <cp:keywords/>
  <dc:description/>
  <cp:lastModifiedBy>LAPTOP68</cp:lastModifiedBy>
  <cp:revision>1</cp:revision>
  <cp:lastPrinted>2025-05-12T03:17:00Z</cp:lastPrinted>
  <dcterms:created xsi:type="dcterms:W3CDTF">2025-05-12T03:08:00Z</dcterms:created>
  <dcterms:modified xsi:type="dcterms:W3CDTF">2025-05-12T03:36:00Z</dcterms:modified>
</cp:coreProperties>
</file>